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9"/>
        <w:rPr>
          <w:rFonts w:hint="default" w:ascii="方正小标宋简体" w:hAnsi="宋体" w:eastAsia="方正小标宋简体"/>
          <w:color w:val="000000"/>
          <w:sz w:val="30"/>
          <w:szCs w:val="30"/>
          <w:lang w:val="en-US" w:eastAsia="zh-CN"/>
        </w:rPr>
      </w:pPr>
      <w:bookmarkStart w:id="0" w:name="_Toc15306267"/>
    </w:p>
    <w:p>
      <w:pPr>
        <w:spacing w:line="600" w:lineRule="exact"/>
        <w:jc w:val="center"/>
        <w:outlineLvl w:val="9"/>
        <w:rPr>
          <w:rFonts w:ascii="方正小标宋简体" w:hAnsi="宋体" w:eastAsia="方正小标宋简体"/>
          <w:color w:val="000000"/>
          <w:sz w:val="72"/>
          <w:szCs w:val="72"/>
        </w:rPr>
      </w:pPr>
    </w:p>
    <w:p>
      <w:pPr>
        <w:spacing w:line="600" w:lineRule="exact"/>
        <w:jc w:val="center"/>
        <w:outlineLvl w:val="9"/>
        <w:rPr>
          <w:rFonts w:ascii="方正小标宋简体" w:hAnsi="宋体" w:eastAsia="方正小标宋简体"/>
          <w:color w:val="000000"/>
          <w:sz w:val="72"/>
          <w:szCs w:val="72"/>
        </w:rPr>
      </w:pPr>
    </w:p>
    <w:p>
      <w:pPr>
        <w:spacing w:line="600" w:lineRule="exact"/>
        <w:jc w:val="center"/>
        <w:outlineLvl w:val="9"/>
        <w:rPr>
          <w:rFonts w:ascii="方正小标宋简体" w:hAnsi="宋体" w:eastAsia="方正小标宋简体"/>
          <w:color w:val="000000"/>
          <w:sz w:val="72"/>
          <w:szCs w:val="72"/>
        </w:rPr>
      </w:pPr>
    </w:p>
    <w:p>
      <w:pPr>
        <w:adjustRightInd w:val="0"/>
        <w:snapToGrid w:val="0"/>
        <w:spacing w:line="360" w:lineRule="auto"/>
        <w:jc w:val="center"/>
        <w:outlineLvl w:val="0"/>
        <w:rPr>
          <w:rFonts w:hint="eastAsia" w:ascii="方正小标宋简体" w:hAnsi="宋体" w:eastAsia="方正小标宋简体"/>
          <w:color w:val="auto"/>
          <w:sz w:val="72"/>
          <w:szCs w:val="72"/>
        </w:rPr>
      </w:pPr>
      <w:bookmarkStart w:id="1" w:name="_Toc15377425"/>
      <w:bookmarkStart w:id="2" w:name="_Toc15396597"/>
      <w:bookmarkStart w:id="3" w:name="_Toc15396475"/>
      <w:bookmarkStart w:id="4" w:name="_Toc15378441"/>
      <w:bookmarkStart w:id="5" w:name="_Toc15377193"/>
      <w:r>
        <w:rPr>
          <w:rFonts w:hint="eastAsia" w:ascii="方正小标宋简体" w:hAnsi="宋体" w:eastAsia="方正小标宋简体"/>
          <w:color w:val="auto"/>
          <w:sz w:val="72"/>
          <w:szCs w:val="72"/>
        </w:rPr>
        <w:t>20</w:t>
      </w:r>
      <w:r>
        <w:rPr>
          <w:rFonts w:hint="eastAsia" w:ascii="方正小标宋简体" w:hAnsi="宋体" w:eastAsia="方正小标宋简体"/>
          <w:color w:val="auto"/>
          <w:sz w:val="72"/>
          <w:szCs w:val="72"/>
          <w:lang w:val="en-US" w:eastAsia="zh-CN"/>
        </w:rPr>
        <w:t>20</w:t>
      </w:r>
      <w:r>
        <w:rPr>
          <w:rFonts w:hint="eastAsia" w:ascii="方正小标宋简体" w:hAnsi="宋体" w:eastAsia="方正小标宋简体"/>
          <w:color w:val="auto"/>
          <w:sz w:val="72"/>
          <w:szCs w:val="72"/>
        </w:rPr>
        <w:t>年度</w:t>
      </w:r>
      <w:bookmarkEnd w:id="1"/>
      <w:bookmarkEnd w:id="2"/>
      <w:bookmarkEnd w:id="3"/>
      <w:bookmarkEnd w:id="4"/>
      <w:bookmarkEnd w:id="5"/>
    </w:p>
    <w:p>
      <w:pPr>
        <w:adjustRightInd w:val="0"/>
        <w:snapToGrid w:val="0"/>
        <w:spacing w:line="360" w:lineRule="auto"/>
        <w:jc w:val="center"/>
        <w:outlineLvl w:val="0"/>
        <w:rPr>
          <w:rFonts w:hint="eastAsia" w:ascii="方正小标宋简体" w:hAnsi="宋体" w:eastAsia="方正小标宋简体"/>
          <w:color w:val="auto"/>
          <w:sz w:val="72"/>
          <w:szCs w:val="72"/>
          <w:lang w:val="en-US" w:eastAsia="zh-CN"/>
        </w:rPr>
      </w:pPr>
      <w:bookmarkStart w:id="6" w:name="_Toc15396476"/>
      <w:bookmarkStart w:id="7" w:name="_Toc15377426"/>
      <w:bookmarkStart w:id="8" w:name="_Toc15378442"/>
      <w:bookmarkStart w:id="9" w:name="_Toc15377194"/>
      <w:bookmarkStart w:id="10" w:name="_Toc15396598"/>
      <w:r>
        <w:rPr>
          <w:rFonts w:hint="eastAsia" w:ascii="方正小标宋简体" w:hAnsi="宋体" w:eastAsia="方正小标宋简体"/>
          <w:color w:val="auto"/>
          <w:sz w:val="72"/>
          <w:szCs w:val="72"/>
          <w:lang w:val="en-US" w:eastAsia="zh-CN"/>
        </w:rPr>
        <w:t>中国共产主义青年团</w:t>
      </w:r>
    </w:p>
    <w:p>
      <w:pPr>
        <w:adjustRightInd w:val="0"/>
        <w:snapToGrid w:val="0"/>
        <w:spacing w:line="360" w:lineRule="auto"/>
        <w:jc w:val="center"/>
        <w:outlineLvl w:val="0"/>
        <w:rPr>
          <w:rFonts w:hint="eastAsia" w:ascii="方正小标宋简体" w:hAnsi="宋体" w:eastAsia="方正小标宋简体"/>
          <w:color w:val="auto"/>
          <w:sz w:val="72"/>
          <w:szCs w:val="72"/>
        </w:rPr>
      </w:pPr>
      <w:r>
        <w:rPr>
          <w:rFonts w:hint="eastAsia" w:ascii="方正小标宋简体" w:hAnsi="宋体" w:eastAsia="方正小标宋简体"/>
          <w:color w:val="auto"/>
          <w:sz w:val="72"/>
          <w:szCs w:val="72"/>
        </w:rPr>
        <w:t>四川省</w:t>
      </w:r>
      <w:bookmarkEnd w:id="0"/>
      <w:bookmarkStart w:id="11" w:name="_Toc15306268"/>
      <w:r>
        <w:rPr>
          <w:rFonts w:hint="eastAsia" w:ascii="方正小标宋简体" w:hAnsi="宋体" w:eastAsia="方正小标宋简体"/>
          <w:color w:val="auto"/>
          <w:sz w:val="72"/>
          <w:szCs w:val="72"/>
          <w:lang w:val="en-US" w:eastAsia="zh-CN"/>
        </w:rPr>
        <w:t>团校单位</w:t>
      </w:r>
      <w:r>
        <w:rPr>
          <w:rFonts w:hint="eastAsia" w:ascii="方正小标宋简体" w:hAnsi="宋体" w:eastAsia="方正小标宋简体"/>
          <w:color w:val="auto"/>
          <w:sz w:val="72"/>
          <w:szCs w:val="72"/>
        </w:rPr>
        <w:t>决算</w:t>
      </w:r>
      <w:bookmarkEnd w:id="6"/>
      <w:bookmarkEnd w:id="7"/>
      <w:bookmarkEnd w:id="8"/>
      <w:bookmarkEnd w:id="9"/>
      <w:bookmarkEnd w:id="10"/>
      <w:bookmarkEnd w:id="11"/>
    </w:p>
    <w:p>
      <w:pPr>
        <w:adjustRightInd w:val="0"/>
        <w:snapToGrid w:val="0"/>
        <w:spacing w:line="360" w:lineRule="auto"/>
        <w:jc w:val="center"/>
        <w:outlineLvl w:val="9"/>
        <w:rPr>
          <w:rFonts w:ascii="方正小标宋简体" w:hAnsi="宋体" w:eastAsia="方正小标宋简体"/>
          <w:color w:val="auto"/>
          <w:sz w:val="52"/>
          <w:szCs w:val="52"/>
        </w:rPr>
      </w:pPr>
    </w:p>
    <w:p>
      <w:pPr>
        <w:widowControl/>
        <w:jc w:val="center"/>
        <w:rPr>
          <w:rFonts w:ascii="方正小标宋简体" w:hAnsi="宋体" w:eastAsia="方正小标宋简体"/>
          <w:color w:val="auto"/>
          <w:sz w:val="36"/>
          <w:szCs w:val="36"/>
        </w:rPr>
      </w:pPr>
    </w:p>
    <w:p>
      <w:pPr>
        <w:widowControl/>
        <w:jc w:val="center"/>
        <w:rPr>
          <w:rFonts w:ascii="方正小标宋简体" w:hAnsi="宋体" w:eastAsia="方正小标宋简体"/>
          <w:color w:val="auto"/>
          <w:sz w:val="36"/>
          <w:szCs w:val="36"/>
        </w:rPr>
      </w:pPr>
    </w:p>
    <w:p>
      <w:pPr>
        <w:widowControl/>
        <w:jc w:val="center"/>
        <w:rPr>
          <w:rFonts w:ascii="方正小标宋简体" w:hAnsi="宋体" w:eastAsia="方正小标宋简体"/>
          <w:color w:val="auto"/>
          <w:sz w:val="36"/>
          <w:szCs w:val="36"/>
        </w:rPr>
      </w:pPr>
    </w:p>
    <w:p>
      <w:pPr>
        <w:widowControl/>
        <w:jc w:val="center"/>
        <w:rPr>
          <w:rFonts w:ascii="方正小标宋简体" w:hAnsi="宋体" w:eastAsia="方正小标宋简体"/>
          <w:color w:val="auto"/>
          <w:sz w:val="36"/>
          <w:szCs w:val="36"/>
        </w:rPr>
      </w:pPr>
    </w:p>
    <w:p>
      <w:pPr>
        <w:pStyle w:val="12"/>
        <w:rPr>
          <w:rFonts w:hint="eastAsia" w:ascii="宋体" w:hAnsi="宋体" w:eastAsia="宋体" w:cs="宋体"/>
          <w:color w:val="auto"/>
          <w:sz w:val="32"/>
          <w:szCs w:val="32"/>
        </w:rPr>
      </w:pPr>
      <w:r>
        <w:rPr>
          <w:rFonts w:hint="eastAsia" w:ascii="宋体" w:hAnsi="宋体" w:eastAsia="宋体" w:cs="宋体"/>
          <w:color w:val="auto"/>
          <w:sz w:val="32"/>
          <w:szCs w:val="32"/>
        </w:rPr>
        <w:t>公开时间：20</w:t>
      </w:r>
      <w:r>
        <w:rPr>
          <w:rFonts w:hint="eastAsia" w:ascii="宋体" w:hAnsi="宋体" w:eastAsia="宋体" w:cs="宋体"/>
          <w:color w:val="auto"/>
          <w:sz w:val="32"/>
          <w:szCs w:val="32"/>
          <w:lang w:val="en-US" w:eastAsia="zh-CN"/>
        </w:rPr>
        <w:t>21</w:t>
      </w:r>
      <w:r>
        <w:rPr>
          <w:rFonts w:hint="eastAsia" w:ascii="宋体" w:hAnsi="宋体" w:eastAsia="宋体" w:cs="宋体"/>
          <w:color w:val="auto"/>
          <w:sz w:val="32"/>
          <w:szCs w:val="32"/>
        </w:rPr>
        <w:t>年</w:t>
      </w:r>
      <w:r>
        <w:rPr>
          <w:rFonts w:hint="eastAsia" w:ascii="宋体" w:hAnsi="宋体" w:eastAsia="宋体" w:cs="宋体"/>
          <w:color w:val="auto"/>
          <w:sz w:val="32"/>
          <w:szCs w:val="32"/>
          <w:lang w:val="en-US" w:eastAsia="zh-CN"/>
        </w:rPr>
        <w:t>9</w:t>
      </w:r>
      <w:r>
        <w:rPr>
          <w:rFonts w:hint="eastAsia" w:ascii="宋体" w:hAnsi="宋体" w:eastAsia="宋体" w:cs="宋体"/>
          <w:color w:val="auto"/>
          <w:sz w:val="32"/>
          <w:szCs w:val="32"/>
        </w:rPr>
        <w:t>月</w:t>
      </w:r>
      <w:r>
        <w:rPr>
          <w:rFonts w:hint="eastAsia" w:ascii="宋体" w:hAnsi="宋体" w:eastAsia="宋体" w:cs="宋体"/>
          <w:color w:val="auto"/>
          <w:sz w:val="32"/>
          <w:szCs w:val="32"/>
          <w:lang w:val="en-US" w:eastAsia="zh-CN"/>
        </w:rPr>
        <w:t>10</w:t>
      </w:r>
      <w:r>
        <w:rPr>
          <w:rFonts w:hint="eastAsia" w:ascii="宋体" w:hAnsi="宋体" w:eastAsia="宋体" w:cs="宋体"/>
          <w:color w:val="auto"/>
          <w:sz w:val="32"/>
          <w:szCs w:val="32"/>
        </w:rPr>
        <w:t>日</w:t>
      </w:r>
    </w:p>
    <w:p>
      <w:pPr>
        <w:spacing w:before="0" w:beforeLines="0" w:after="0" w:afterLines="0" w:line="240" w:lineRule="auto"/>
        <w:ind w:left="0" w:leftChars="0" w:right="0" w:rightChars="0" w:firstLine="0" w:firstLineChars="0"/>
        <w:jc w:val="center"/>
        <w:rPr>
          <w:rFonts w:ascii="宋体" w:hAnsi="宋体" w:eastAsia="宋体" w:cs="Times New Roman"/>
          <w:kern w:val="2"/>
          <w:sz w:val="21"/>
          <w:szCs w:val="24"/>
          <w:lang w:val="en-US" w:eastAsia="zh-CN" w:bidi="ar-SA"/>
        </w:rPr>
      </w:pPr>
      <w:bookmarkStart w:id="12" w:name="_Toc15377196"/>
      <w:bookmarkStart w:id="13" w:name="_Toc15396599"/>
    </w:p>
    <w:p>
      <w:pPr>
        <w:spacing w:before="0" w:beforeLines="0" w:after="0" w:afterLines="0" w:line="240" w:lineRule="auto"/>
        <w:ind w:left="0" w:leftChars="0" w:right="0" w:rightChars="0" w:firstLine="0" w:firstLineChars="0"/>
        <w:jc w:val="center"/>
        <w:rPr>
          <w:rFonts w:ascii="宋体" w:hAnsi="宋体" w:eastAsia="宋体" w:cs="Times New Roman"/>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imes New Roman"/>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imes New Roman"/>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imes New Roman"/>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imes New Roman"/>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imes New Roman"/>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imes New Roman"/>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imes New Roman"/>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imes New Roman"/>
          <w:kern w:val="2"/>
          <w:sz w:val="21"/>
          <w:szCs w:val="24"/>
          <w:lang w:val="en-US" w:eastAsia="zh-CN" w:bidi="ar-SA"/>
        </w:rPr>
        <w:sectPr>
          <w:headerReference r:id="rId3" w:type="default"/>
          <w:footerReference r:id="rId4" w:type="default"/>
          <w:pgSz w:w="11906" w:h="16838"/>
          <w:pgMar w:top="1440" w:right="1800" w:bottom="1440" w:left="1800" w:header="851" w:footer="992" w:gutter="0"/>
          <w:pgNumType w:fmt="decimal" w:start="1"/>
          <w:cols w:space="425" w:num="1"/>
          <w:titlePg/>
          <w:docGrid w:type="lines" w:linePitch="312" w:charSpace="0"/>
        </w:sectPr>
      </w:pPr>
    </w:p>
    <w:sdt>
      <w:sdtPr>
        <w:rPr>
          <w:rFonts w:ascii="宋体" w:hAnsi="宋体" w:eastAsia="宋体" w:cs="Times New Roman"/>
          <w:kern w:val="2"/>
          <w:sz w:val="21"/>
          <w:szCs w:val="24"/>
          <w:lang w:val="en-US" w:eastAsia="zh-CN" w:bidi="ar-SA"/>
        </w:rPr>
        <w:id w:val="147475774"/>
        <w15:color w:val="DBDBDB"/>
        <w:docPartObj>
          <w:docPartGallery w:val="Table of Contents"/>
          <w:docPartUnique/>
        </w:docPartObj>
      </w:sdtPr>
      <w:sdtEndPr>
        <w:rPr>
          <w:rFonts w:ascii="宋体" w:hAnsi="宋体" w:eastAsia="宋体" w:cs="Times New Roman"/>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sz w:val="48"/>
              <w:szCs w:val="48"/>
            </w:rPr>
          </w:pPr>
          <w:r>
            <w:rPr>
              <w:rFonts w:hint="eastAsia" w:ascii="黑体" w:hAnsi="黑体" w:eastAsia="黑体" w:cs="黑体"/>
              <w:sz w:val="48"/>
              <w:szCs w:val="48"/>
            </w:rPr>
            <w:t>目</w:t>
          </w:r>
          <w:r>
            <w:rPr>
              <w:rFonts w:hint="eastAsia" w:ascii="黑体" w:hAnsi="黑体" w:eastAsia="黑体" w:cs="黑体"/>
              <w:sz w:val="48"/>
              <w:szCs w:val="48"/>
              <w:lang w:val="en-US" w:eastAsia="zh-CN"/>
            </w:rPr>
            <w:t xml:space="preserve">  </w:t>
          </w:r>
          <w:r>
            <w:rPr>
              <w:rFonts w:hint="eastAsia" w:ascii="黑体" w:hAnsi="黑体" w:eastAsia="黑体" w:cs="黑体"/>
              <w:sz w:val="48"/>
              <w:szCs w:val="48"/>
            </w:rPr>
            <w:t>录</w:t>
          </w:r>
        </w:p>
        <w:p>
          <w:pPr>
            <w:pStyle w:val="12"/>
            <w:keepNext w:val="0"/>
            <w:keepLines w:val="0"/>
            <w:pageBreakBefore w:val="0"/>
            <w:widowControl w:val="0"/>
            <w:tabs>
              <w:tab w:val="right" w:leader="dot" w:pos="8306"/>
              <w:tab w:val="clear" w:pos="8296"/>
            </w:tabs>
            <w:kinsoku/>
            <w:wordWrap/>
            <w:overflowPunct/>
            <w:topLinePunct w:val="0"/>
            <w:autoSpaceDE/>
            <w:autoSpaceDN/>
            <w:bidi w:val="0"/>
            <w:spacing w:line="440" w:lineRule="exact"/>
            <w:textAlignment w:val="auto"/>
            <w:rPr>
              <w:rFonts w:hint="eastAsia" w:ascii="仿宋" w:hAnsi="仿宋" w:eastAsia="仿宋" w:cs="仿宋"/>
              <w:b w:val="0"/>
              <w:bCs w:val="0"/>
              <w:sz w:val="24"/>
              <w:szCs w:val="24"/>
            </w:rPr>
          </w:pP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TOC \o "1-3" \h \u </w:instrText>
          </w:r>
          <w:r>
            <w:rPr>
              <w:rFonts w:hint="eastAsia" w:asciiTheme="minorEastAsia" w:hAnsiTheme="minorEastAsia" w:eastAsiaTheme="minorEastAsia" w:cstheme="minorEastAsia"/>
              <w:b w:val="0"/>
              <w:bCs w:val="0"/>
              <w:sz w:val="24"/>
              <w:szCs w:val="24"/>
            </w:rPr>
            <w:fldChar w:fldCharType="separate"/>
          </w: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HYPERLINK \l _Toc3375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rPr>
            <w:t xml:space="preserve">第一部分 </w:t>
          </w:r>
          <w:r>
            <w:rPr>
              <w:rFonts w:hint="eastAsia" w:ascii="仿宋" w:hAnsi="仿宋" w:eastAsia="仿宋" w:cs="仿宋"/>
              <w:b w:val="0"/>
              <w:bCs w:val="0"/>
              <w:sz w:val="24"/>
              <w:szCs w:val="24"/>
              <w:lang w:eastAsia="zh-CN"/>
            </w:rPr>
            <w:t>单位</w:t>
          </w:r>
          <w:r>
            <w:rPr>
              <w:rFonts w:hint="eastAsia" w:ascii="仿宋" w:hAnsi="仿宋" w:eastAsia="仿宋" w:cs="仿宋"/>
              <w:b w:val="0"/>
              <w:bCs w:val="0"/>
              <w:sz w:val="24"/>
              <w:szCs w:val="24"/>
            </w:rPr>
            <w:t>概况</w:t>
          </w:r>
          <w:r>
            <w:rPr>
              <w:rFonts w:hint="eastAsia" w:ascii="仿宋" w:hAnsi="仿宋" w:eastAsia="仿宋" w:cs="仿宋"/>
              <w:b w:val="0"/>
              <w:bCs w:val="0"/>
              <w:sz w:val="24"/>
              <w:szCs w:val="24"/>
            </w:rPr>
            <w:tab/>
          </w: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PAGEREF _Toc3375 \h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rPr>
            <w:t>3</w:t>
          </w:r>
          <w:r>
            <w:rPr>
              <w:rFonts w:hint="eastAsia" w:ascii="仿宋" w:hAnsi="仿宋" w:eastAsia="仿宋" w:cs="仿宋"/>
              <w:b w:val="0"/>
              <w:bCs w:val="0"/>
              <w:sz w:val="24"/>
              <w:szCs w:val="24"/>
            </w:rPr>
            <w:fldChar w:fldCharType="end"/>
          </w:r>
          <w:r>
            <w:rPr>
              <w:rFonts w:hint="eastAsia" w:ascii="仿宋" w:hAnsi="仿宋" w:eastAsia="仿宋" w:cs="仿宋"/>
              <w:b w:val="0"/>
              <w:bCs w:val="0"/>
              <w:sz w:val="24"/>
              <w:szCs w:val="24"/>
            </w:rPr>
            <w:fldChar w:fldCharType="end"/>
          </w:r>
        </w:p>
        <w:p>
          <w:pPr>
            <w:pStyle w:val="13"/>
            <w:keepNext w:val="0"/>
            <w:keepLines w:val="0"/>
            <w:pageBreakBefore w:val="0"/>
            <w:widowControl w:val="0"/>
            <w:tabs>
              <w:tab w:val="right" w:leader="dot" w:pos="8306"/>
              <w:tab w:val="clear" w:pos="8296"/>
            </w:tabs>
            <w:kinsoku/>
            <w:wordWrap/>
            <w:overflowPunct/>
            <w:topLinePunct w:val="0"/>
            <w:autoSpaceDE/>
            <w:autoSpaceDN/>
            <w:bidi w:val="0"/>
            <w:spacing w:line="440" w:lineRule="exac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\l _Toc139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lang w:val="en-US" w:eastAsia="zh-CN"/>
            </w:rPr>
            <w:t>一、职能简介</w:t>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PAGEREF _Toc139 \h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3</w:t>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sz w:val="24"/>
              <w:szCs w:val="24"/>
            </w:rPr>
            <w:fldChar w:fldCharType="end"/>
          </w:r>
        </w:p>
        <w:p>
          <w:pPr>
            <w:pStyle w:val="13"/>
            <w:keepNext w:val="0"/>
            <w:keepLines w:val="0"/>
            <w:pageBreakBefore w:val="0"/>
            <w:widowControl w:val="0"/>
            <w:tabs>
              <w:tab w:val="right" w:leader="dot" w:pos="8306"/>
              <w:tab w:val="clear" w:pos="8296"/>
            </w:tabs>
            <w:kinsoku/>
            <w:wordWrap/>
            <w:overflowPunct/>
            <w:topLinePunct w:val="0"/>
            <w:autoSpaceDE/>
            <w:autoSpaceDN/>
            <w:bidi w:val="0"/>
            <w:spacing w:line="440" w:lineRule="exac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\l _Toc11890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lang w:val="en-US" w:eastAsia="zh-CN"/>
            </w:rPr>
            <w:t>二、2020年重点</w:t>
          </w:r>
          <w:r>
            <w:rPr>
              <w:rFonts w:hint="eastAsia" w:asciiTheme="minorEastAsia" w:hAnsiTheme="minorEastAsia" w:eastAsiaTheme="minorEastAsia" w:cstheme="minorEastAsia"/>
              <w:b w:val="0"/>
              <w:bCs w:val="0"/>
              <w:sz w:val="24"/>
              <w:szCs w:val="24"/>
            </w:rPr>
            <w:t>工作</w:t>
          </w:r>
          <w:r>
            <w:rPr>
              <w:rFonts w:hint="eastAsia" w:asciiTheme="minorEastAsia" w:hAnsiTheme="minorEastAsia" w:eastAsiaTheme="minorEastAsia" w:cstheme="minorEastAsia"/>
              <w:b w:val="0"/>
              <w:bCs w:val="0"/>
              <w:sz w:val="24"/>
              <w:szCs w:val="24"/>
              <w:lang w:eastAsia="zh-CN"/>
            </w:rPr>
            <w:t>完成情况</w:t>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PAGEREF _Toc11890 \h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3</w:t>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sz w:val="24"/>
              <w:szCs w:val="24"/>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spacing w:line="440" w:lineRule="exac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HYPERLINK \l _Toc4536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rPr>
            <w:t>第二部分</w:t>
          </w:r>
          <w:r>
            <w:rPr>
              <w:rFonts w:hint="eastAsia" w:ascii="仿宋" w:hAnsi="仿宋" w:eastAsia="仿宋" w:cs="仿宋"/>
              <w:b w:val="0"/>
              <w:bCs w:val="0"/>
              <w:sz w:val="24"/>
              <w:szCs w:val="24"/>
              <w:lang w:val="en-US" w:eastAsia="zh-CN"/>
            </w:rPr>
            <w:t xml:space="preserve"> 2020年度</w:t>
          </w:r>
          <w:r>
            <w:rPr>
              <w:rFonts w:hint="eastAsia" w:ascii="仿宋" w:hAnsi="仿宋" w:eastAsia="仿宋" w:cs="仿宋"/>
              <w:b w:val="0"/>
              <w:bCs w:val="0"/>
              <w:sz w:val="24"/>
              <w:szCs w:val="24"/>
              <w:lang w:eastAsia="zh-CN"/>
            </w:rPr>
            <w:t>单位</w:t>
          </w:r>
          <w:r>
            <w:rPr>
              <w:rFonts w:hint="eastAsia" w:ascii="仿宋" w:hAnsi="仿宋" w:eastAsia="仿宋" w:cs="仿宋"/>
              <w:b w:val="0"/>
              <w:bCs w:val="0"/>
              <w:sz w:val="24"/>
              <w:szCs w:val="24"/>
            </w:rPr>
            <w:t>决算情况说明</w:t>
          </w:r>
          <w:r>
            <w:rPr>
              <w:rFonts w:hint="eastAsia" w:ascii="仿宋" w:hAnsi="仿宋" w:eastAsia="仿宋" w:cs="仿宋"/>
              <w:b w:val="0"/>
              <w:bCs w:val="0"/>
              <w:sz w:val="24"/>
              <w:szCs w:val="24"/>
            </w:rPr>
            <w:tab/>
          </w: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PAGEREF _Toc4536 \h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rPr>
            <w:t>7</w:t>
          </w:r>
          <w:r>
            <w:rPr>
              <w:rFonts w:hint="eastAsia" w:ascii="仿宋" w:hAnsi="仿宋" w:eastAsia="仿宋" w:cs="仿宋"/>
              <w:b w:val="0"/>
              <w:bCs w:val="0"/>
              <w:sz w:val="24"/>
              <w:szCs w:val="24"/>
            </w:rPr>
            <w:fldChar w:fldCharType="end"/>
          </w:r>
          <w:r>
            <w:rPr>
              <w:rFonts w:hint="eastAsia" w:ascii="仿宋" w:hAnsi="仿宋" w:eastAsia="仿宋" w:cs="仿宋"/>
              <w:b w:val="0"/>
              <w:bCs w:val="0"/>
              <w:sz w:val="24"/>
              <w:szCs w:val="24"/>
            </w:rPr>
            <w:fldChar w:fldCharType="end"/>
          </w:r>
        </w:p>
        <w:p>
          <w:pPr>
            <w:pStyle w:val="13"/>
            <w:keepNext w:val="0"/>
            <w:keepLines w:val="0"/>
            <w:pageBreakBefore w:val="0"/>
            <w:widowControl w:val="0"/>
            <w:tabs>
              <w:tab w:val="right" w:leader="dot" w:pos="8306"/>
              <w:tab w:val="clear" w:pos="8296"/>
            </w:tabs>
            <w:kinsoku/>
            <w:wordWrap/>
            <w:overflowPunct/>
            <w:topLinePunct w:val="0"/>
            <w:autoSpaceDE/>
            <w:autoSpaceDN/>
            <w:bidi w:val="0"/>
            <w:spacing w:line="440" w:lineRule="exac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\l _Toc21031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一、 收入支出决算总体情况说明</w:t>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PAGEREF _Toc21031 \h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7</w:t>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sz w:val="24"/>
              <w:szCs w:val="24"/>
            </w:rPr>
            <w:fldChar w:fldCharType="end"/>
          </w:r>
        </w:p>
        <w:p>
          <w:pPr>
            <w:pStyle w:val="13"/>
            <w:keepNext w:val="0"/>
            <w:keepLines w:val="0"/>
            <w:pageBreakBefore w:val="0"/>
            <w:widowControl w:val="0"/>
            <w:tabs>
              <w:tab w:val="right" w:leader="dot" w:pos="8306"/>
              <w:tab w:val="clear" w:pos="8296"/>
            </w:tabs>
            <w:kinsoku/>
            <w:wordWrap/>
            <w:overflowPunct/>
            <w:topLinePunct w:val="0"/>
            <w:autoSpaceDE/>
            <w:autoSpaceDN/>
            <w:bidi w:val="0"/>
            <w:spacing w:line="440" w:lineRule="exac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\l _Toc32391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二、 收入决算情况说明</w:t>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PAGEREF _Toc32391 \h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7</w:t>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sz w:val="24"/>
              <w:szCs w:val="24"/>
            </w:rPr>
            <w:fldChar w:fldCharType="end"/>
          </w:r>
        </w:p>
        <w:p>
          <w:pPr>
            <w:pStyle w:val="13"/>
            <w:keepNext w:val="0"/>
            <w:keepLines w:val="0"/>
            <w:pageBreakBefore w:val="0"/>
            <w:widowControl w:val="0"/>
            <w:tabs>
              <w:tab w:val="right" w:leader="dot" w:pos="8306"/>
              <w:tab w:val="clear" w:pos="8296"/>
            </w:tabs>
            <w:kinsoku/>
            <w:wordWrap/>
            <w:overflowPunct/>
            <w:topLinePunct w:val="0"/>
            <w:autoSpaceDE/>
            <w:autoSpaceDN/>
            <w:bidi w:val="0"/>
            <w:spacing w:line="440" w:lineRule="exac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\l _Toc27404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三、 支出决算情况说明</w:t>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PAGEREF _Toc27404 \h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8</w:t>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sz w:val="24"/>
              <w:szCs w:val="24"/>
            </w:rPr>
            <w:fldChar w:fldCharType="end"/>
          </w:r>
        </w:p>
        <w:p>
          <w:pPr>
            <w:pStyle w:val="13"/>
            <w:keepNext w:val="0"/>
            <w:keepLines w:val="0"/>
            <w:pageBreakBefore w:val="0"/>
            <w:widowControl w:val="0"/>
            <w:tabs>
              <w:tab w:val="right" w:leader="dot" w:pos="8306"/>
              <w:tab w:val="clear" w:pos="8296"/>
            </w:tabs>
            <w:kinsoku/>
            <w:wordWrap/>
            <w:overflowPunct/>
            <w:topLinePunct w:val="0"/>
            <w:autoSpaceDE/>
            <w:autoSpaceDN/>
            <w:bidi w:val="0"/>
            <w:spacing w:line="440" w:lineRule="exac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\l _Toc24706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四、财政拨款收入支出决算总体情况说明</w:t>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PAGEREF _Toc24706 \h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9</w:t>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sz w:val="24"/>
              <w:szCs w:val="24"/>
            </w:rPr>
            <w:fldChar w:fldCharType="end"/>
          </w:r>
        </w:p>
        <w:p>
          <w:pPr>
            <w:pStyle w:val="13"/>
            <w:keepNext w:val="0"/>
            <w:keepLines w:val="0"/>
            <w:pageBreakBefore w:val="0"/>
            <w:widowControl w:val="0"/>
            <w:tabs>
              <w:tab w:val="right" w:leader="dot" w:pos="8306"/>
              <w:tab w:val="clear" w:pos="8296"/>
            </w:tabs>
            <w:kinsoku/>
            <w:wordWrap/>
            <w:overflowPunct/>
            <w:topLinePunct w:val="0"/>
            <w:autoSpaceDE/>
            <w:autoSpaceDN/>
            <w:bidi w:val="0"/>
            <w:spacing w:line="440" w:lineRule="exac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\l _Toc24382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五、一般公共预算财政拨款支出决算情况说明</w:t>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PAGEREF _Toc24382 \h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9</w:t>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sz w:val="24"/>
              <w:szCs w:val="24"/>
            </w:rPr>
            <w:fldChar w:fldCharType="end"/>
          </w:r>
        </w:p>
        <w:p>
          <w:pPr>
            <w:pStyle w:val="13"/>
            <w:keepNext w:val="0"/>
            <w:keepLines w:val="0"/>
            <w:pageBreakBefore w:val="0"/>
            <w:widowControl w:val="0"/>
            <w:tabs>
              <w:tab w:val="right" w:leader="dot" w:pos="8306"/>
              <w:tab w:val="clear" w:pos="8296"/>
            </w:tabs>
            <w:kinsoku/>
            <w:wordWrap/>
            <w:overflowPunct/>
            <w:topLinePunct w:val="0"/>
            <w:autoSpaceDE/>
            <w:autoSpaceDN/>
            <w:bidi w:val="0"/>
            <w:spacing w:line="440" w:lineRule="exac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\l _Toc11456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六、一般公共预算财政拨款基本支出决算情况说明</w:t>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PAGEREF _Toc11456 \h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12</w:t>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sz w:val="24"/>
              <w:szCs w:val="24"/>
            </w:rPr>
            <w:fldChar w:fldCharType="end"/>
          </w:r>
        </w:p>
        <w:p>
          <w:pPr>
            <w:pStyle w:val="13"/>
            <w:keepNext w:val="0"/>
            <w:keepLines w:val="0"/>
            <w:pageBreakBefore w:val="0"/>
            <w:widowControl w:val="0"/>
            <w:tabs>
              <w:tab w:val="right" w:leader="dot" w:pos="8306"/>
              <w:tab w:val="clear" w:pos="8296"/>
            </w:tabs>
            <w:kinsoku/>
            <w:wordWrap/>
            <w:overflowPunct/>
            <w:topLinePunct w:val="0"/>
            <w:autoSpaceDE/>
            <w:autoSpaceDN/>
            <w:bidi w:val="0"/>
            <w:spacing w:line="440" w:lineRule="exac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\l _Toc14660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七、“三公”经费财政拨款支出决算情况说明</w:t>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PAGEREF _Toc14660 \h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13</w:t>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sz w:val="24"/>
              <w:szCs w:val="24"/>
            </w:rPr>
            <w:fldChar w:fldCharType="end"/>
          </w:r>
        </w:p>
        <w:p>
          <w:pPr>
            <w:pStyle w:val="13"/>
            <w:keepNext w:val="0"/>
            <w:keepLines w:val="0"/>
            <w:pageBreakBefore w:val="0"/>
            <w:widowControl w:val="0"/>
            <w:tabs>
              <w:tab w:val="right" w:leader="dot" w:pos="8306"/>
              <w:tab w:val="clear" w:pos="8296"/>
            </w:tabs>
            <w:kinsoku/>
            <w:wordWrap/>
            <w:overflowPunct/>
            <w:topLinePunct w:val="0"/>
            <w:autoSpaceDE/>
            <w:autoSpaceDN/>
            <w:bidi w:val="0"/>
            <w:spacing w:line="440" w:lineRule="exac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\l _Toc14171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八、政府性基金预算支出决算情况说明</w:t>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PAGEREF _Toc14171 \h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15</w:t>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sz w:val="24"/>
              <w:szCs w:val="24"/>
            </w:rPr>
            <w:fldChar w:fldCharType="end"/>
          </w:r>
        </w:p>
        <w:p>
          <w:pPr>
            <w:pStyle w:val="13"/>
            <w:keepNext w:val="0"/>
            <w:keepLines w:val="0"/>
            <w:pageBreakBefore w:val="0"/>
            <w:widowControl w:val="0"/>
            <w:tabs>
              <w:tab w:val="right" w:leader="dot" w:pos="8306"/>
              <w:tab w:val="clear" w:pos="8296"/>
            </w:tabs>
            <w:kinsoku/>
            <w:wordWrap/>
            <w:overflowPunct/>
            <w:topLinePunct w:val="0"/>
            <w:autoSpaceDE/>
            <w:autoSpaceDN/>
            <w:bidi w:val="0"/>
            <w:spacing w:line="440" w:lineRule="exac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\l _Toc9142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九、 国有资本经营预算支出决算情况说明</w:t>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PAGEREF _Toc9142 \h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15</w:t>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sz w:val="24"/>
              <w:szCs w:val="24"/>
            </w:rPr>
            <w:fldChar w:fldCharType="end"/>
          </w:r>
        </w:p>
        <w:p>
          <w:pPr>
            <w:pStyle w:val="13"/>
            <w:keepNext w:val="0"/>
            <w:keepLines w:val="0"/>
            <w:pageBreakBefore w:val="0"/>
            <w:widowControl w:val="0"/>
            <w:tabs>
              <w:tab w:val="right" w:leader="dot" w:pos="8306"/>
              <w:tab w:val="clear" w:pos="8296"/>
            </w:tabs>
            <w:kinsoku/>
            <w:wordWrap/>
            <w:overflowPunct/>
            <w:topLinePunct w:val="0"/>
            <w:autoSpaceDE/>
            <w:autoSpaceDN/>
            <w:bidi w:val="0"/>
            <w:spacing w:line="440" w:lineRule="exac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\l _Toc11492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十、 其他重要事项的情况说明</w:t>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PAGEREF _Toc11492 \h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15</w:t>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sz w:val="24"/>
              <w:szCs w:val="24"/>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spacing w:line="440" w:lineRule="exac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HYPERLINK \l _Toc10961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rPr>
            <w:t>第三部分 名词解释</w:t>
          </w:r>
          <w:r>
            <w:rPr>
              <w:rFonts w:hint="eastAsia" w:ascii="仿宋" w:hAnsi="仿宋" w:eastAsia="仿宋" w:cs="仿宋"/>
              <w:b w:val="0"/>
              <w:bCs w:val="0"/>
              <w:sz w:val="24"/>
              <w:szCs w:val="24"/>
            </w:rPr>
            <w:tab/>
          </w: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PAGEREF _Toc10961 \h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rPr>
            <w:t>24</w:t>
          </w:r>
          <w:r>
            <w:rPr>
              <w:rFonts w:hint="eastAsia" w:ascii="仿宋" w:hAnsi="仿宋" w:eastAsia="仿宋" w:cs="仿宋"/>
              <w:b w:val="0"/>
              <w:bCs w:val="0"/>
              <w:sz w:val="24"/>
              <w:szCs w:val="24"/>
            </w:rPr>
            <w:fldChar w:fldCharType="end"/>
          </w:r>
          <w:r>
            <w:rPr>
              <w:rFonts w:hint="eastAsia" w:ascii="仿宋" w:hAnsi="仿宋" w:eastAsia="仿宋" w:cs="仿宋"/>
              <w:b w:val="0"/>
              <w:bCs w:val="0"/>
              <w:sz w:val="24"/>
              <w:szCs w:val="24"/>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spacing w:line="440" w:lineRule="exac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HYPERLINK \l _Toc7976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rPr>
            <w:t>第四部分 附件</w:t>
          </w:r>
          <w:r>
            <w:rPr>
              <w:rFonts w:hint="eastAsia" w:ascii="仿宋" w:hAnsi="仿宋" w:eastAsia="仿宋" w:cs="仿宋"/>
              <w:b w:val="0"/>
              <w:bCs w:val="0"/>
              <w:sz w:val="24"/>
              <w:szCs w:val="24"/>
            </w:rPr>
            <w:tab/>
          </w: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PAGEREF _Toc7976 \h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rPr>
            <w:t>27</w:t>
          </w:r>
          <w:r>
            <w:rPr>
              <w:rFonts w:hint="eastAsia" w:ascii="仿宋" w:hAnsi="仿宋" w:eastAsia="仿宋" w:cs="仿宋"/>
              <w:b w:val="0"/>
              <w:bCs w:val="0"/>
              <w:sz w:val="24"/>
              <w:szCs w:val="24"/>
            </w:rPr>
            <w:fldChar w:fldCharType="end"/>
          </w:r>
          <w:r>
            <w:rPr>
              <w:rFonts w:hint="eastAsia" w:ascii="仿宋" w:hAnsi="仿宋" w:eastAsia="仿宋" w:cs="仿宋"/>
              <w:b w:val="0"/>
              <w:bCs w:val="0"/>
              <w:sz w:val="24"/>
              <w:szCs w:val="24"/>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spacing w:line="440" w:lineRule="exac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HYPERLINK \l _Toc5002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rPr>
            <w:t>第五部分 附表</w:t>
          </w:r>
          <w:r>
            <w:rPr>
              <w:rFonts w:hint="eastAsia" w:ascii="仿宋" w:hAnsi="仿宋" w:eastAsia="仿宋" w:cs="仿宋"/>
              <w:b w:val="0"/>
              <w:bCs w:val="0"/>
              <w:sz w:val="24"/>
              <w:szCs w:val="24"/>
            </w:rPr>
            <w:tab/>
          </w: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PAGEREF _Toc5002 \h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rPr>
            <w:t>42</w:t>
          </w:r>
          <w:r>
            <w:rPr>
              <w:rFonts w:hint="eastAsia" w:ascii="仿宋" w:hAnsi="仿宋" w:eastAsia="仿宋" w:cs="仿宋"/>
              <w:b w:val="0"/>
              <w:bCs w:val="0"/>
              <w:sz w:val="24"/>
              <w:szCs w:val="24"/>
            </w:rPr>
            <w:fldChar w:fldCharType="end"/>
          </w:r>
          <w:r>
            <w:rPr>
              <w:rFonts w:hint="eastAsia" w:ascii="仿宋" w:hAnsi="仿宋" w:eastAsia="仿宋" w:cs="仿宋"/>
              <w:b w:val="0"/>
              <w:bCs w:val="0"/>
              <w:sz w:val="24"/>
              <w:szCs w:val="24"/>
            </w:rPr>
            <w:fldChar w:fldCharType="end"/>
          </w:r>
        </w:p>
        <w:p>
          <w:pPr>
            <w:pStyle w:val="13"/>
            <w:keepNext w:val="0"/>
            <w:keepLines w:val="0"/>
            <w:pageBreakBefore w:val="0"/>
            <w:widowControl w:val="0"/>
            <w:tabs>
              <w:tab w:val="right" w:leader="dot" w:pos="8306"/>
              <w:tab w:val="clear" w:pos="8296"/>
            </w:tabs>
            <w:kinsoku/>
            <w:wordWrap/>
            <w:overflowPunct/>
            <w:topLinePunct w:val="0"/>
            <w:autoSpaceDE/>
            <w:autoSpaceDN/>
            <w:bidi w:val="0"/>
            <w:spacing w:line="440" w:lineRule="exac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\l _Toc9170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一、收入支出决算总表</w:t>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PAGEREF _Toc9170 \h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42</w:t>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sz w:val="24"/>
              <w:szCs w:val="24"/>
            </w:rPr>
            <w:fldChar w:fldCharType="end"/>
          </w:r>
        </w:p>
        <w:p>
          <w:pPr>
            <w:pStyle w:val="13"/>
            <w:keepNext w:val="0"/>
            <w:keepLines w:val="0"/>
            <w:pageBreakBefore w:val="0"/>
            <w:widowControl w:val="0"/>
            <w:tabs>
              <w:tab w:val="right" w:leader="dot" w:pos="8306"/>
              <w:tab w:val="clear" w:pos="8296"/>
            </w:tabs>
            <w:kinsoku/>
            <w:wordWrap/>
            <w:overflowPunct/>
            <w:topLinePunct w:val="0"/>
            <w:autoSpaceDE/>
            <w:autoSpaceDN/>
            <w:bidi w:val="0"/>
            <w:spacing w:line="440" w:lineRule="exac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\l _Toc432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二、收入决算表</w:t>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PAGEREF _Toc432 \h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42</w:t>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sz w:val="24"/>
              <w:szCs w:val="24"/>
            </w:rPr>
            <w:fldChar w:fldCharType="end"/>
          </w:r>
        </w:p>
        <w:p>
          <w:pPr>
            <w:pStyle w:val="13"/>
            <w:keepNext w:val="0"/>
            <w:keepLines w:val="0"/>
            <w:pageBreakBefore w:val="0"/>
            <w:widowControl w:val="0"/>
            <w:tabs>
              <w:tab w:val="right" w:leader="dot" w:pos="8306"/>
              <w:tab w:val="clear" w:pos="8296"/>
            </w:tabs>
            <w:kinsoku/>
            <w:wordWrap/>
            <w:overflowPunct/>
            <w:topLinePunct w:val="0"/>
            <w:autoSpaceDE/>
            <w:autoSpaceDN/>
            <w:bidi w:val="0"/>
            <w:spacing w:line="440" w:lineRule="exac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\l _Toc16483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三、支出决算表</w:t>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PAGEREF _Toc16483 \h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42</w:t>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sz w:val="24"/>
              <w:szCs w:val="24"/>
            </w:rPr>
            <w:fldChar w:fldCharType="end"/>
          </w:r>
        </w:p>
        <w:p>
          <w:pPr>
            <w:pStyle w:val="13"/>
            <w:keepNext w:val="0"/>
            <w:keepLines w:val="0"/>
            <w:pageBreakBefore w:val="0"/>
            <w:widowControl w:val="0"/>
            <w:tabs>
              <w:tab w:val="right" w:leader="dot" w:pos="8306"/>
              <w:tab w:val="clear" w:pos="8296"/>
            </w:tabs>
            <w:kinsoku/>
            <w:wordWrap/>
            <w:overflowPunct/>
            <w:topLinePunct w:val="0"/>
            <w:autoSpaceDE/>
            <w:autoSpaceDN/>
            <w:bidi w:val="0"/>
            <w:spacing w:line="440" w:lineRule="exac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\l _Toc11795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四、财政拨款收入支出决算总表</w:t>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PAGEREF _Toc11795 \h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42</w:t>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sz w:val="24"/>
              <w:szCs w:val="24"/>
            </w:rPr>
            <w:fldChar w:fldCharType="end"/>
          </w:r>
        </w:p>
        <w:p>
          <w:pPr>
            <w:pStyle w:val="13"/>
            <w:keepNext w:val="0"/>
            <w:keepLines w:val="0"/>
            <w:pageBreakBefore w:val="0"/>
            <w:widowControl w:val="0"/>
            <w:tabs>
              <w:tab w:val="right" w:leader="dot" w:pos="8306"/>
              <w:tab w:val="clear" w:pos="8296"/>
            </w:tabs>
            <w:kinsoku/>
            <w:wordWrap/>
            <w:overflowPunct/>
            <w:topLinePunct w:val="0"/>
            <w:autoSpaceDE/>
            <w:autoSpaceDN/>
            <w:bidi w:val="0"/>
            <w:spacing w:line="440" w:lineRule="exac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\l _Toc3991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五、财政拨款支出决算明细表</w:t>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PAGEREF _Toc3991 \h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42</w:t>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sz w:val="24"/>
              <w:szCs w:val="24"/>
            </w:rPr>
            <w:fldChar w:fldCharType="end"/>
          </w:r>
        </w:p>
        <w:p>
          <w:pPr>
            <w:pStyle w:val="13"/>
            <w:keepNext w:val="0"/>
            <w:keepLines w:val="0"/>
            <w:pageBreakBefore w:val="0"/>
            <w:widowControl w:val="0"/>
            <w:tabs>
              <w:tab w:val="right" w:leader="dot" w:pos="8306"/>
              <w:tab w:val="clear" w:pos="8296"/>
            </w:tabs>
            <w:kinsoku/>
            <w:wordWrap/>
            <w:overflowPunct/>
            <w:topLinePunct w:val="0"/>
            <w:autoSpaceDE/>
            <w:autoSpaceDN/>
            <w:bidi w:val="0"/>
            <w:spacing w:line="440" w:lineRule="exac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\l _Toc13183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六、一般公共预算财政拨款支出决算表</w:t>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PAGEREF _Toc13183 \h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42</w:t>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sz w:val="24"/>
              <w:szCs w:val="24"/>
            </w:rPr>
            <w:fldChar w:fldCharType="end"/>
          </w:r>
        </w:p>
        <w:p>
          <w:pPr>
            <w:pStyle w:val="13"/>
            <w:keepNext w:val="0"/>
            <w:keepLines w:val="0"/>
            <w:pageBreakBefore w:val="0"/>
            <w:widowControl w:val="0"/>
            <w:tabs>
              <w:tab w:val="right" w:leader="dot" w:pos="8306"/>
              <w:tab w:val="clear" w:pos="8296"/>
            </w:tabs>
            <w:kinsoku/>
            <w:wordWrap/>
            <w:overflowPunct/>
            <w:topLinePunct w:val="0"/>
            <w:autoSpaceDE/>
            <w:autoSpaceDN/>
            <w:bidi w:val="0"/>
            <w:spacing w:line="440" w:lineRule="exac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\l _Toc21983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七、一般公共预算财政拨款支出决算明细表</w:t>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PAGEREF _Toc21983 \h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42</w:t>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sz w:val="24"/>
              <w:szCs w:val="24"/>
            </w:rPr>
            <w:fldChar w:fldCharType="end"/>
          </w:r>
        </w:p>
        <w:p>
          <w:pPr>
            <w:pStyle w:val="13"/>
            <w:keepNext w:val="0"/>
            <w:keepLines w:val="0"/>
            <w:pageBreakBefore w:val="0"/>
            <w:widowControl w:val="0"/>
            <w:tabs>
              <w:tab w:val="right" w:leader="dot" w:pos="8306"/>
              <w:tab w:val="clear" w:pos="8296"/>
            </w:tabs>
            <w:kinsoku/>
            <w:wordWrap/>
            <w:overflowPunct/>
            <w:topLinePunct w:val="0"/>
            <w:autoSpaceDE/>
            <w:autoSpaceDN/>
            <w:bidi w:val="0"/>
            <w:spacing w:line="440" w:lineRule="exac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\l _Toc20009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八、一般公共预算财政拨款基本支出决算表</w:t>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PAGEREF _Toc20009 \h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42</w:t>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sz w:val="24"/>
              <w:szCs w:val="24"/>
            </w:rPr>
            <w:fldChar w:fldCharType="end"/>
          </w:r>
        </w:p>
        <w:p>
          <w:pPr>
            <w:pStyle w:val="13"/>
            <w:keepNext w:val="0"/>
            <w:keepLines w:val="0"/>
            <w:pageBreakBefore w:val="0"/>
            <w:widowControl w:val="0"/>
            <w:tabs>
              <w:tab w:val="right" w:leader="dot" w:pos="8306"/>
              <w:tab w:val="clear" w:pos="8296"/>
            </w:tabs>
            <w:kinsoku/>
            <w:wordWrap/>
            <w:overflowPunct/>
            <w:topLinePunct w:val="0"/>
            <w:autoSpaceDE/>
            <w:autoSpaceDN/>
            <w:bidi w:val="0"/>
            <w:spacing w:line="440" w:lineRule="exac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\l _Toc27127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九、一般公共预算财政拨款项目支出决算表</w:t>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PAGEREF _Toc27127 \h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42</w:t>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sz w:val="24"/>
              <w:szCs w:val="24"/>
            </w:rPr>
            <w:fldChar w:fldCharType="end"/>
          </w:r>
        </w:p>
        <w:p>
          <w:pPr>
            <w:pStyle w:val="13"/>
            <w:keepNext w:val="0"/>
            <w:keepLines w:val="0"/>
            <w:pageBreakBefore w:val="0"/>
            <w:widowControl w:val="0"/>
            <w:tabs>
              <w:tab w:val="right" w:leader="dot" w:pos="8306"/>
              <w:tab w:val="clear" w:pos="8296"/>
            </w:tabs>
            <w:kinsoku/>
            <w:wordWrap/>
            <w:overflowPunct/>
            <w:topLinePunct w:val="0"/>
            <w:autoSpaceDE/>
            <w:autoSpaceDN/>
            <w:bidi w:val="0"/>
            <w:spacing w:line="440" w:lineRule="exac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\l _Toc24507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十、一般公共预算财政拨款“三公”经费支出决算表</w:t>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PAGEREF _Toc24507 \h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42</w:t>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sz w:val="24"/>
              <w:szCs w:val="24"/>
            </w:rPr>
            <w:fldChar w:fldCharType="end"/>
          </w:r>
        </w:p>
        <w:p>
          <w:pPr>
            <w:pStyle w:val="13"/>
            <w:keepNext w:val="0"/>
            <w:keepLines w:val="0"/>
            <w:pageBreakBefore w:val="0"/>
            <w:widowControl w:val="0"/>
            <w:tabs>
              <w:tab w:val="right" w:leader="dot" w:pos="8306"/>
              <w:tab w:val="clear" w:pos="8296"/>
            </w:tabs>
            <w:kinsoku/>
            <w:wordWrap/>
            <w:overflowPunct/>
            <w:topLinePunct w:val="0"/>
            <w:autoSpaceDE/>
            <w:autoSpaceDN/>
            <w:bidi w:val="0"/>
            <w:spacing w:line="440" w:lineRule="exac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\l _Toc23899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十一、政府性基金预算财政拨款收入支出决算表</w:t>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PAGEREF _Toc23899 \h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42</w:t>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sz w:val="24"/>
              <w:szCs w:val="24"/>
            </w:rPr>
            <w:fldChar w:fldCharType="end"/>
          </w:r>
        </w:p>
        <w:p>
          <w:pPr>
            <w:pStyle w:val="13"/>
            <w:keepNext w:val="0"/>
            <w:keepLines w:val="0"/>
            <w:pageBreakBefore w:val="0"/>
            <w:widowControl w:val="0"/>
            <w:tabs>
              <w:tab w:val="right" w:leader="dot" w:pos="8306"/>
              <w:tab w:val="clear" w:pos="8296"/>
            </w:tabs>
            <w:kinsoku/>
            <w:wordWrap/>
            <w:overflowPunct/>
            <w:topLinePunct w:val="0"/>
            <w:autoSpaceDE/>
            <w:autoSpaceDN/>
            <w:bidi w:val="0"/>
            <w:spacing w:line="440" w:lineRule="exac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\l _Toc22629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十二、政府性基金预算财政拨款“三公”经费支出决算表</w:t>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PAGEREF _Toc22629 \h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42</w:t>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sz w:val="24"/>
              <w:szCs w:val="24"/>
            </w:rPr>
            <w:fldChar w:fldCharType="end"/>
          </w:r>
        </w:p>
        <w:p>
          <w:pPr>
            <w:pStyle w:val="13"/>
            <w:keepNext w:val="0"/>
            <w:keepLines w:val="0"/>
            <w:pageBreakBefore w:val="0"/>
            <w:widowControl w:val="0"/>
            <w:tabs>
              <w:tab w:val="right" w:leader="dot" w:pos="8306"/>
              <w:tab w:val="clear" w:pos="8296"/>
            </w:tabs>
            <w:kinsoku/>
            <w:wordWrap/>
            <w:overflowPunct/>
            <w:topLinePunct w:val="0"/>
            <w:autoSpaceDE/>
            <w:autoSpaceDN/>
            <w:bidi w:val="0"/>
            <w:spacing w:line="440" w:lineRule="exac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\l _Toc6518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十三、国有资本经营预算</w:t>
          </w:r>
          <w:r>
            <w:rPr>
              <w:rFonts w:hint="eastAsia" w:asciiTheme="minorEastAsia" w:hAnsiTheme="minorEastAsia" w:eastAsiaTheme="minorEastAsia" w:cstheme="minorEastAsia"/>
              <w:b w:val="0"/>
              <w:bCs w:val="0"/>
              <w:sz w:val="24"/>
              <w:szCs w:val="24"/>
              <w:lang w:eastAsia="zh-CN"/>
            </w:rPr>
            <w:t>财政拨款收入</w:t>
          </w:r>
          <w:r>
            <w:rPr>
              <w:rFonts w:hint="eastAsia" w:asciiTheme="minorEastAsia" w:hAnsiTheme="minorEastAsia" w:eastAsiaTheme="minorEastAsia" w:cstheme="minorEastAsia"/>
              <w:b w:val="0"/>
              <w:bCs w:val="0"/>
              <w:sz w:val="24"/>
              <w:szCs w:val="24"/>
            </w:rPr>
            <w:t>支出决算表</w:t>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PAGEREF _Toc6518 \h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42</w:t>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sz w:val="24"/>
              <w:szCs w:val="24"/>
            </w:rPr>
            <w:fldChar w:fldCharType="end"/>
          </w:r>
        </w:p>
        <w:p>
          <w:pPr>
            <w:pStyle w:val="13"/>
            <w:keepNext w:val="0"/>
            <w:keepLines w:val="0"/>
            <w:pageBreakBefore w:val="0"/>
            <w:widowControl w:val="0"/>
            <w:tabs>
              <w:tab w:val="right" w:leader="dot" w:pos="8306"/>
              <w:tab w:val="clear" w:pos="8296"/>
            </w:tabs>
            <w:kinsoku/>
            <w:wordWrap/>
            <w:overflowPunct/>
            <w:topLinePunct w:val="0"/>
            <w:autoSpaceDE/>
            <w:autoSpaceDN/>
            <w:bidi w:val="0"/>
            <w:spacing w:line="440" w:lineRule="exact"/>
            <w:textAlignment w:val="auto"/>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\l _Toc21988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lang w:eastAsia="zh-CN"/>
            </w:rPr>
            <w:t>十四、国有资本经营预算财政拨款支出决算表</w:t>
          </w:r>
          <w:r>
            <w:rPr>
              <w:rFonts w:hint="eastAsia" w:asciiTheme="minorEastAsia" w:hAnsiTheme="minorEastAsia" w:eastAsiaTheme="minorEastAsia" w:cstheme="minorEastAsia"/>
              <w:b w:val="0"/>
              <w:bCs w:val="0"/>
              <w:sz w:val="24"/>
              <w:szCs w:val="24"/>
            </w:rPr>
            <w:tab/>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PAGEREF _Toc21988 \h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42</w:t>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sz w:val="24"/>
              <w:szCs w:val="24"/>
            </w:rPr>
            <w:fldChar w:fldCharType="end"/>
          </w:r>
        </w:p>
        <w:p>
          <w:pPr>
            <w:keepNext w:val="0"/>
            <w:keepLines w:val="0"/>
            <w:pageBreakBefore w:val="0"/>
            <w:widowControl w:val="0"/>
            <w:kinsoku/>
            <w:wordWrap/>
            <w:overflowPunct/>
            <w:topLinePunct w:val="0"/>
            <w:autoSpaceDE/>
            <w:autoSpaceDN/>
            <w:bidi w:val="0"/>
            <w:adjustRightInd w:val="0"/>
            <w:snapToGrid w:val="0"/>
            <w:spacing w:before="0" w:line="440" w:lineRule="exact"/>
            <w:textAlignment w:val="auto"/>
          </w:pPr>
          <w:r>
            <w:rPr>
              <w:rFonts w:hint="eastAsia" w:asciiTheme="minorEastAsia" w:hAnsiTheme="minorEastAsia" w:eastAsiaTheme="minorEastAsia" w:cstheme="minorEastAsia"/>
              <w:b w:val="0"/>
              <w:bCs w:val="0"/>
              <w:szCs w:val="24"/>
            </w:rPr>
            <w:fldChar w:fldCharType="end"/>
          </w:r>
        </w:p>
      </w:sdtContent>
    </w:sdt>
    <w:p>
      <w:pPr>
        <w:pStyle w:val="4"/>
        <w:keepNext/>
        <w:keepLines/>
        <w:pageBreakBefore w:val="0"/>
        <w:widowControl w:val="0"/>
        <w:kinsoku/>
        <w:wordWrap/>
        <w:overflowPunct/>
        <w:topLinePunct w:val="0"/>
        <w:autoSpaceDE/>
        <w:autoSpaceDN/>
        <w:bidi w:val="0"/>
        <w:adjustRightInd/>
        <w:snapToGrid/>
        <w:spacing w:before="0" w:after="157" w:afterLines="50" w:line="600" w:lineRule="exact"/>
        <w:jc w:val="center"/>
        <w:textAlignment w:val="auto"/>
        <w:outlineLvl w:val="0"/>
        <w:rPr>
          <w:rFonts w:hint="eastAsia" w:ascii="黑体" w:hAnsi="黑体" w:eastAsia="黑体"/>
          <w:b w:val="0"/>
          <w:color w:val="auto"/>
        </w:rPr>
      </w:pPr>
    </w:p>
    <w:p>
      <w:pPr>
        <w:rPr>
          <w:rFonts w:hint="eastAsia" w:ascii="黑体" w:hAnsi="黑体" w:eastAsia="黑体"/>
          <w:b w:val="0"/>
          <w:color w:val="auto"/>
        </w:rPr>
      </w:pPr>
    </w:p>
    <w:p>
      <w:pPr>
        <w:pStyle w:val="7"/>
        <w:rPr>
          <w:rFonts w:hint="eastAsia" w:ascii="黑体" w:hAnsi="黑体" w:eastAsia="黑体"/>
          <w:b w:val="0"/>
          <w:color w:val="auto"/>
          <w:lang w:val="en-US" w:eastAsia="zh-CN"/>
        </w:rPr>
      </w:pPr>
    </w:p>
    <w:p>
      <w:pPr>
        <w:pStyle w:val="7"/>
        <w:rPr>
          <w:rFonts w:hint="eastAsia" w:ascii="黑体" w:hAnsi="黑体" w:eastAsia="黑体"/>
          <w:b w:val="0"/>
          <w:color w:val="auto"/>
          <w:lang w:val="en-US" w:eastAsia="zh-CN"/>
        </w:rPr>
      </w:pPr>
    </w:p>
    <w:p>
      <w:pPr>
        <w:pStyle w:val="7"/>
        <w:rPr>
          <w:rFonts w:hint="eastAsia" w:ascii="黑体" w:hAnsi="黑体" w:eastAsia="黑体"/>
          <w:b w:val="0"/>
          <w:color w:val="auto"/>
          <w:lang w:val="en-US" w:eastAsia="zh-CN"/>
        </w:rPr>
      </w:pPr>
    </w:p>
    <w:p>
      <w:pPr>
        <w:pStyle w:val="7"/>
        <w:rPr>
          <w:rFonts w:hint="eastAsia" w:ascii="黑体" w:hAnsi="黑体" w:eastAsia="黑体"/>
          <w:b w:val="0"/>
          <w:color w:val="auto"/>
          <w:lang w:val="en-US" w:eastAsia="zh-CN"/>
        </w:rPr>
      </w:pPr>
    </w:p>
    <w:p>
      <w:pPr>
        <w:pStyle w:val="7"/>
        <w:rPr>
          <w:rFonts w:hint="eastAsia" w:ascii="黑体" w:hAnsi="黑体" w:eastAsia="黑体"/>
          <w:b w:val="0"/>
          <w:color w:val="auto"/>
          <w:lang w:val="en-US" w:eastAsia="zh-CN"/>
        </w:rPr>
      </w:pPr>
    </w:p>
    <w:p>
      <w:pPr>
        <w:pStyle w:val="7"/>
        <w:rPr>
          <w:rFonts w:hint="eastAsia" w:ascii="黑体" w:hAnsi="黑体" w:eastAsia="黑体"/>
          <w:b w:val="0"/>
          <w:color w:val="auto"/>
          <w:lang w:val="en-US" w:eastAsia="zh-CN"/>
        </w:rPr>
      </w:pPr>
    </w:p>
    <w:p>
      <w:pPr>
        <w:pStyle w:val="7"/>
        <w:rPr>
          <w:rFonts w:hint="eastAsia" w:ascii="黑体" w:hAnsi="黑体" w:eastAsia="黑体"/>
          <w:b w:val="0"/>
          <w:color w:val="auto"/>
          <w:lang w:val="en-US" w:eastAsia="zh-CN"/>
        </w:rPr>
      </w:pPr>
    </w:p>
    <w:p>
      <w:pPr>
        <w:pStyle w:val="7"/>
        <w:rPr>
          <w:rFonts w:hint="eastAsia" w:ascii="黑体" w:hAnsi="黑体" w:eastAsia="黑体"/>
          <w:b w:val="0"/>
          <w:color w:val="auto"/>
          <w:lang w:val="en-US" w:eastAsia="zh-CN"/>
        </w:rPr>
      </w:pPr>
    </w:p>
    <w:p>
      <w:pPr>
        <w:pStyle w:val="7"/>
        <w:rPr>
          <w:rFonts w:hint="eastAsia" w:ascii="黑体" w:hAnsi="黑体" w:eastAsia="黑体"/>
          <w:b w:val="0"/>
          <w:color w:val="auto"/>
          <w:lang w:val="en-US" w:eastAsia="zh-CN"/>
        </w:rPr>
      </w:pPr>
    </w:p>
    <w:p>
      <w:pPr>
        <w:pStyle w:val="7"/>
        <w:rPr>
          <w:rFonts w:hint="eastAsia" w:ascii="黑体" w:hAnsi="黑体" w:eastAsia="黑体"/>
          <w:b w:val="0"/>
          <w:color w:val="auto"/>
          <w:lang w:val="en-US" w:eastAsia="zh-CN"/>
        </w:rPr>
      </w:pPr>
    </w:p>
    <w:p>
      <w:pPr>
        <w:pStyle w:val="7"/>
        <w:rPr>
          <w:rFonts w:hint="eastAsia" w:ascii="黑体" w:hAnsi="黑体" w:eastAsia="黑体"/>
          <w:b w:val="0"/>
          <w:color w:val="auto"/>
          <w:lang w:val="en-US" w:eastAsia="zh-CN"/>
        </w:rPr>
      </w:pPr>
    </w:p>
    <w:p>
      <w:pPr>
        <w:pStyle w:val="7"/>
        <w:rPr>
          <w:rFonts w:hint="eastAsia" w:ascii="黑体" w:hAnsi="黑体" w:eastAsia="黑体"/>
          <w:b w:val="0"/>
          <w:color w:val="auto"/>
          <w:lang w:val="en-US" w:eastAsia="zh-CN"/>
        </w:rPr>
      </w:pPr>
    </w:p>
    <w:p>
      <w:pPr>
        <w:pStyle w:val="7"/>
        <w:rPr>
          <w:rFonts w:hint="eastAsia" w:ascii="黑体" w:hAnsi="黑体" w:eastAsia="黑体"/>
          <w:b w:val="0"/>
          <w:color w:val="auto"/>
          <w:lang w:val="en-US" w:eastAsia="zh-CN"/>
        </w:rPr>
      </w:pPr>
    </w:p>
    <w:p>
      <w:pPr>
        <w:pStyle w:val="7"/>
        <w:rPr>
          <w:rFonts w:hint="eastAsia" w:ascii="黑体" w:hAnsi="黑体" w:eastAsia="黑体"/>
          <w:b w:val="0"/>
          <w:color w:val="auto"/>
          <w:lang w:val="en-US" w:eastAsia="zh-CN"/>
        </w:rPr>
      </w:pPr>
    </w:p>
    <w:p>
      <w:pPr>
        <w:pStyle w:val="7"/>
        <w:rPr>
          <w:rFonts w:hint="eastAsia" w:ascii="黑体" w:hAnsi="黑体" w:eastAsia="黑体"/>
          <w:b w:val="0"/>
          <w:color w:val="auto"/>
        </w:rPr>
      </w:pPr>
    </w:p>
    <w:p>
      <w:pPr>
        <w:pStyle w:val="4"/>
        <w:keepNext/>
        <w:keepLines/>
        <w:pageBreakBefore w:val="0"/>
        <w:widowControl w:val="0"/>
        <w:kinsoku/>
        <w:wordWrap/>
        <w:overflowPunct/>
        <w:topLinePunct w:val="0"/>
        <w:autoSpaceDE/>
        <w:autoSpaceDN/>
        <w:bidi w:val="0"/>
        <w:adjustRightInd/>
        <w:snapToGrid/>
        <w:spacing w:before="0" w:after="157" w:afterLines="50" w:line="600" w:lineRule="exact"/>
        <w:jc w:val="center"/>
        <w:textAlignment w:val="auto"/>
        <w:outlineLvl w:val="0"/>
        <w:rPr>
          <w:rFonts w:ascii="黑体" w:eastAsia="黑体"/>
          <w:color w:val="auto"/>
          <w:sz w:val="32"/>
          <w:szCs w:val="32"/>
        </w:rPr>
      </w:pPr>
      <w:bookmarkStart w:id="14" w:name="_Toc3375"/>
      <w:r>
        <w:rPr>
          <w:rFonts w:hint="eastAsia" w:ascii="黑体" w:hAnsi="黑体" w:eastAsia="黑体"/>
          <w:b w:val="0"/>
          <w:color w:val="auto"/>
        </w:rPr>
        <w:t xml:space="preserve">第一部分 </w:t>
      </w:r>
      <w:r>
        <w:rPr>
          <w:rFonts w:hint="eastAsia" w:ascii="黑体" w:hAnsi="黑体" w:eastAsia="黑体"/>
          <w:b w:val="0"/>
          <w:color w:val="auto"/>
          <w:lang w:eastAsia="zh-CN"/>
        </w:rPr>
        <w:t>单位</w:t>
      </w:r>
      <w:r>
        <w:rPr>
          <w:rStyle w:val="28"/>
          <w:rFonts w:hint="eastAsia" w:ascii="黑体" w:hAnsi="黑体" w:eastAsia="黑体"/>
          <w:b w:val="0"/>
          <w:bCs w:val="0"/>
          <w:color w:val="auto"/>
        </w:rPr>
        <w:t>概况</w:t>
      </w:r>
      <w:bookmarkEnd w:id="12"/>
      <w:bookmarkEnd w:id="13"/>
      <w:bookmarkEnd w:id="14"/>
    </w:p>
    <w:p>
      <w:pPr>
        <w:pStyle w:val="5"/>
        <w:keepNext/>
        <w:keepLines/>
        <w:pageBreakBefore w:val="0"/>
        <w:widowControl w:val="0"/>
        <w:numPr>
          <w:ilvl w:val="0"/>
          <w:numId w:val="0"/>
        </w:numPr>
        <w:kinsoku/>
        <w:wordWrap/>
        <w:overflowPunct/>
        <w:topLinePunct w:val="0"/>
        <w:autoSpaceDE/>
        <w:autoSpaceDN/>
        <w:bidi w:val="0"/>
        <w:adjustRightInd/>
        <w:snapToGrid/>
        <w:spacing w:before="0" w:after="0" w:line="600" w:lineRule="exact"/>
        <w:ind w:firstLine="640"/>
        <w:jc w:val="both"/>
        <w:textAlignment w:val="auto"/>
        <w:outlineLvl w:val="1"/>
        <w:rPr>
          <w:rFonts w:hint="default"/>
          <w:color w:val="auto"/>
          <w:lang w:val="en-US" w:eastAsia="zh-CN"/>
        </w:rPr>
      </w:pPr>
      <w:bookmarkStart w:id="15" w:name="_Toc139"/>
      <w:bookmarkStart w:id="16" w:name="_Toc15396600"/>
      <w:bookmarkStart w:id="17" w:name="_Toc15377197"/>
      <w:r>
        <w:rPr>
          <w:rFonts w:hint="eastAsia"/>
          <w:color w:val="auto"/>
          <w:lang w:val="en-US" w:eastAsia="zh-CN"/>
        </w:rPr>
        <w:t>一、职能简介</w:t>
      </w:r>
      <w:bookmarkEnd w:id="15"/>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川省团校是共青团四川省委直属的公益一类事业单位，是四川省规模最大的共青团干部和青年教育培训基地，具有悠久的历史和光荣的传统。核定事业编制100名，实行“收支统管，全额保障”预算管理办法。主要承担专兼职共青团干部、少先队辅导员及青少年工作者培训，共青团、少先队基础性理论研究，志愿者和社会组织培训以及团史展览馆建设等工作。</w:t>
      </w:r>
    </w:p>
    <w:p>
      <w:pPr>
        <w:pStyle w:val="5"/>
        <w:keepNext/>
        <w:keepLines/>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jc w:val="both"/>
        <w:textAlignment w:val="auto"/>
        <w:outlineLvl w:val="2"/>
        <w:rPr>
          <w:rStyle w:val="29"/>
          <w:rFonts w:hint="eastAsia" w:ascii="黑体" w:hAnsi="黑体" w:eastAsia="黑体"/>
          <w:b w:val="0"/>
          <w:bCs w:val="0"/>
          <w:color w:val="auto"/>
        </w:rPr>
      </w:pPr>
      <w:bookmarkStart w:id="18" w:name="_Toc7106"/>
      <w:bookmarkStart w:id="19" w:name="_Toc11890"/>
      <w:r>
        <w:rPr>
          <w:rStyle w:val="29"/>
          <w:rFonts w:hint="eastAsia" w:ascii="黑体" w:hAnsi="黑体" w:eastAsia="黑体"/>
          <w:b w:val="0"/>
          <w:bCs w:val="0"/>
          <w:color w:val="auto"/>
          <w:lang w:val="en-US" w:eastAsia="zh-CN"/>
        </w:rPr>
        <w:t>二、2020年重点</w:t>
      </w:r>
      <w:r>
        <w:rPr>
          <w:rStyle w:val="29"/>
          <w:rFonts w:hint="eastAsia" w:ascii="黑体" w:hAnsi="黑体" w:eastAsia="黑体"/>
          <w:b w:val="0"/>
          <w:bCs w:val="0"/>
          <w:color w:val="auto"/>
        </w:rPr>
        <w:t>工作</w:t>
      </w:r>
      <w:bookmarkEnd w:id="16"/>
      <w:bookmarkEnd w:id="17"/>
      <w:r>
        <w:rPr>
          <w:rStyle w:val="29"/>
          <w:rFonts w:hint="eastAsia" w:ascii="黑体" w:hAnsi="黑体" w:eastAsia="黑体"/>
          <w:b w:val="0"/>
          <w:bCs w:val="0"/>
          <w:color w:val="auto"/>
          <w:lang w:eastAsia="zh-CN"/>
        </w:rPr>
        <w:t>完成情况</w:t>
      </w:r>
      <w:bookmarkEnd w:id="18"/>
      <w:bookmarkEnd w:id="19"/>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2020年，</w:t>
      </w:r>
      <w:r>
        <w:rPr>
          <w:rFonts w:hint="eastAsia" w:ascii="仿宋_GB2312" w:hAnsi="仿宋_GB2312" w:eastAsia="仿宋_GB2312" w:cs="仿宋_GB2312"/>
          <w:sz w:val="32"/>
          <w:szCs w:val="32"/>
          <w:lang w:val="en-US" w:eastAsia="zh-CN"/>
        </w:rPr>
        <w:t>四川省团校在</w:t>
      </w:r>
      <w:r>
        <w:rPr>
          <w:rFonts w:hint="eastAsia" w:ascii="仿宋_GB2312" w:hAnsi="仿宋_GB2312" w:eastAsia="仿宋_GB2312" w:cs="仿宋_GB2312"/>
          <w:sz w:val="32"/>
          <w:szCs w:val="32"/>
        </w:rPr>
        <w:t>团省委的</w:t>
      </w:r>
      <w:r>
        <w:rPr>
          <w:rFonts w:hint="eastAsia" w:ascii="仿宋_GB2312" w:hAnsi="仿宋_GB2312" w:eastAsia="仿宋_GB2312" w:cs="仿宋_GB2312"/>
          <w:sz w:val="32"/>
          <w:szCs w:val="32"/>
          <w:lang w:val="en-US" w:eastAsia="zh-CN"/>
        </w:rPr>
        <w:t>正确</w:t>
      </w:r>
      <w:r>
        <w:rPr>
          <w:rFonts w:hint="eastAsia" w:ascii="仿宋_GB2312" w:hAnsi="仿宋_GB2312" w:eastAsia="仿宋_GB2312" w:cs="仿宋_GB2312"/>
          <w:sz w:val="32"/>
          <w:szCs w:val="32"/>
        </w:rPr>
        <w:t>领导下，</w:t>
      </w:r>
      <w:r>
        <w:rPr>
          <w:rFonts w:hint="eastAsia" w:ascii="仿宋_GB2312" w:hAnsi="仿宋_GB2312" w:eastAsia="仿宋_GB2312" w:cs="仿宋_GB2312"/>
          <w:sz w:val="32"/>
          <w:szCs w:val="32"/>
          <w:lang w:val="en-US" w:eastAsia="zh-CN"/>
        </w:rPr>
        <w:t>坚持</w:t>
      </w:r>
      <w:r>
        <w:rPr>
          <w:rFonts w:hint="eastAsia" w:ascii="仿宋_GB2312" w:hAnsi="仿宋_GB2312" w:eastAsia="仿宋_GB2312" w:cs="仿宋_GB2312"/>
          <w:sz w:val="32"/>
          <w:szCs w:val="32"/>
        </w:rPr>
        <w:t>以习近平新时代中国特色社会主义思想为指导，认真学习贯彻落实党的十九届四中、五中全会</w:t>
      </w:r>
      <w:r>
        <w:rPr>
          <w:rFonts w:hint="eastAsia" w:ascii="仿宋_GB2312" w:hAnsi="仿宋_GB2312" w:eastAsia="仿宋_GB2312" w:cs="仿宋_GB2312"/>
          <w:sz w:val="32"/>
          <w:szCs w:val="32"/>
          <w:lang w:val="en-US" w:eastAsia="zh-CN"/>
        </w:rPr>
        <w:t>精神</w:t>
      </w:r>
      <w:r>
        <w:rPr>
          <w:rFonts w:hint="eastAsia" w:ascii="仿宋_GB2312" w:hAnsi="仿宋_GB2312" w:eastAsia="仿宋_GB2312" w:cs="仿宋_GB2312"/>
          <w:sz w:val="32"/>
          <w:szCs w:val="32"/>
        </w:rPr>
        <w:t>和省委十一届</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次、</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次全会精神，</w:t>
      </w:r>
      <w:r>
        <w:rPr>
          <w:rFonts w:hint="eastAsia" w:ascii="仿宋_GB2312" w:hAnsi="仿宋_GB2312" w:eastAsia="仿宋_GB2312" w:cs="仿宋_GB2312"/>
          <w:sz w:val="32"/>
          <w:szCs w:val="32"/>
          <w:lang w:val="en-US" w:eastAsia="zh-CN"/>
        </w:rPr>
        <w:t>坚持政治立校，</w:t>
      </w:r>
      <w:r>
        <w:rPr>
          <w:rFonts w:hint="eastAsia" w:ascii="仿宋_GB2312" w:hAnsi="仿宋_GB2312" w:eastAsia="仿宋_GB2312" w:cs="仿宋_GB2312"/>
          <w:sz w:val="32"/>
          <w:szCs w:val="32"/>
        </w:rPr>
        <w:t>聚焦主责主业，</w:t>
      </w:r>
      <w:r>
        <w:rPr>
          <w:rFonts w:hint="eastAsia" w:ascii="仿宋_GB2312" w:hAnsi="仿宋_GB2312" w:eastAsia="仿宋_GB2312" w:cs="仿宋_GB2312"/>
          <w:sz w:val="32"/>
          <w:szCs w:val="32"/>
          <w:lang w:val="en-US" w:eastAsia="zh-CN"/>
        </w:rPr>
        <w:t>深入推进疫情防控形势下工作开展，</w:t>
      </w:r>
      <w:r>
        <w:rPr>
          <w:rFonts w:hint="eastAsia" w:ascii="仿宋_GB2312" w:hAnsi="仿宋_GB2312" w:eastAsia="仿宋_GB2312" w:cs="仿宋_GB2312"/>
          <w:sz w:val="32"/>
          <w:szCs w:val="32"/>
        </w:rPr>
        <w:t>取得了显著成效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lang w:val="en-US" w:eastAsia="zh-CN"/>
        </w:rPr>
        <w:t>一是强化思想引领，提高政治站位。</w:t>
      </w:r>
      <w:r>
        <w:rPr>
          <w:rFonts w:hint="eastAsia" w:ascii="仿宋_GB2312" w:hAnsi="仿宋_GB2312" w:eastAsia="仿宋_GB2312" w:cs="仿宋_GB2312"/>
          <w:sz w:val="32"/>
          <w:szCs w:val="32"/>
          <w:lang w:val="en-US" w:eastAsia="zh-CN"/>
        </w:rPr>
        <w:t>坚持建设党在青年工作领域特色鲜明的政治学校定位，</w:t>
      </w:r>
      <w:r>
        <w:rPr>
          <w:rFonts w:hint="eastAsia" w:ascii="仿宋_GB2312" w:hAnsi="仿宋_GB2312" w:eastAsia="仿宋_GB2312" w:cs="仿宋_GB2312"/>
          <w:sz w:val="32"/>
          <w:szCs w:val="32"/>
        </w:rPr>
        <w:t>成立党委理论学习中心组，组织集体学习研讨3次，</w:t>
      </w:r>
      <w:r>
        <w:rPr>
          <w:rFonts w:hint="eastAsia" w:ascii="仿宋_GB2312" w:hAnsi="仿宋_GB2312" w:eastAsia="仿宋_GB2312" w:cs="仿宋_GB2312"/>
          <w:sz w:val="32"/>
          <w:szCs w:val="32"/>
          <w:lang w:val="en-US" w:eastAsia="zh-CN"/>
        </w:rPr>
        <w:t>研究制定《2020年四川省团校党建工作要点》，顺利推进1名预备党员转正和1名入党积极分子教育培养工作，进行党员“政治生日”提示26次，充分利用</w:t>
      </w:r>
      <w:r>
        <w:rPr>
          <w:rFonts w:hint="eastAsia" w:ascii="仿宋_GB2312" w:hAnsi="仿宋_GB2312" w:eastAsia="仿宋_GB2312" w:cs="仿宋_GB2312"/>
          <w:sz w:val="32"/>
          <w:szCs w:val="32"/>
        </w:rPr>
        <w:t>“青年大学习”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“学习强国”</w:t>
      </w:r>
      <w:r>
        <w:rPr>
          <w:rFonts w:hint="eastAsia" w:ascii="仿宋_GB2312" w:hAnsi="仿宋_GB2312" w:eastAsia="仿宋_GB2312" w:cs="仿宋_GB2312"/>
          <w:sz w:val="32"/>
          <w:szCs w:val="32"/>
          <w:lang w:val="en-US" w:eastAsia="zh-CN"/>
        </w:rPr>
        <w:t>平台和我校</w:t>
      </w:r>
      <w:r>
        <w:rPr>
          <w:rFonts w:hint="eastAsia" w:ascii="仿宋_GB2312" w:hAnsi="仿宋_GB2312" w:eastAsia="仿宋_GB2312" w:cs="仿宋_GB2312"/>
          <w:sz w:val="32"/>
          <w:szCs w:val="32"/>
          <w:lang w:eastAsia="zh-CN"/>
        </w:rPr>
        <w:t>“在职职工”、“主题教育”微信群等平台，</w:t>
      </w:r>
      <w:r>
        <w:rPr>
          <w:rFonts w:hint="eastAsia" w:ascii="仿宋_GB2312" w:hAnsi="仿宋_GB2312" w:eastAsia="仿宋_GB2312" w:cs="仿宋_GB2312"/>
          <w:sz w:val="32"/>
          <w:szCs w:val="32"/>
          <w:lang w:val="en-US" w:eastAsia="zh-CN"/>
        </w:rPr>
        <w:t>开展形式多样的理论学习活动，强化思想引领，提高政治站位。</w:t>
      </w:r>
      <w:r>
        <w:rPr>
          <w:rFonts w:hint="eastAsia" w:ascii="仿宋_GB2312" w:hAnsi="仿宋_GB2312" w:eastAsia="仿宋_GB2312" w:cs="仿宋_GB2312"/>
          <w:b/>
          <w:bCs/>
          <w:sz w:val="32"/>
          <w:szCs w:val="32"/>
          <w:lang w:val="en-US" w:eastAsia="zh-CN"/>
        </w:rPr>
        <w:t>二是抓实抓细疫情防控，积极助力脱贫攻坚。</w:t>
      </w:r>
      <w:r>
        <w:rPr>
          <w:rFonts w:hint="eastAsia" w:ascii="仿宋_GB2312" w:hAnsi="仿宋_GB2312" w:eastAsia="仿宋_GB2312" w:cs="仿宋_GB2312"/>
          <w:b w:val="0"/>
          <w:bCs w:val="0"/>
          <w:sz w:val="32"/>
          <w:szCs w:val="32"/>
          <w:lang w:val="en-US" w:eastAsia="zh-CN"/>
        </w:rPr>
        <w:t>严格落实疫情防控各项要求，创新开展疫情防控常态化下的各项工作，做到防疫不松劲、服务不断档。积极响应省直机关工委及团省委直属机关党委要求，组织党员同志参与新冠肺炎疫情捐款、植树履职活动捐款、扶贫日捐款，积极助力疫情防控、脱贫攻坚工作。</w:t>
      </w:r>
      <w:r>
        <w:rPr>
          <w:rFonts w:hint="eastAsia" w:ascii="仿宋_GB2312" w:hAnsi="仿宋_GB2312" w:eastAsia="仿宋_GB2312" w:cs="仿宋_GB2312"/>
          <w:b/>
          <w:bCs/>
          <w:sz w:val="32"/>
          <w:szCs w:val="32"/>
          <w:lang w:val="en-US" w:eastAsia="zh-CN"/>
        </w:rPr>
        <w:t>三是围绕党政部署，助力“双圈”建设。</w:t>
      </w:r>
      <w:r>
        <w:rPr>
          <w:rFonts w:hint="eastAsia" w:ascii="仿宋_GB2312" w:hAnsi="仿宋_GB2312" w:eastAsia="仿宋_GB2312" w:cs="仿宋_GB2312"/>
          <w:sz w:val="32"/>
          <w:szCs w:val="32"/>
          <w:lang w:val="en-US" w:eastAsia="zh-CN"/>
        </w:rPr>
        <w:t>推进川渝共青团合作重点项目、“川渝青训营”团校合作创新工作项目顺利开展，围绕“五个一”（打造一批网上云团课、互派一期团干培训班、共享一批优质师资库、召开一次教学交流会、共建一批实践教育基地），充分挖掘省内实践教学资源，丰富教学载体，稳步推进汶川映秀青少年活动中心等10所党性教育基地挂牌“成渝地区双城经济圈团干部实训基地”，发挥实践育人功能积极助力成渝地区双城经济圈建设。</w:t>
      </w:r>
      <w:r>
        <w:rPr>
          <w:rFonts w:hint="eastAsia" w:ascii="仿宋_GB2312" w:hAnsi="仿宋_GB2312" w:eastAsia="仿宋_GB2312" w:cs="仿宋_GB2312"/>
          <w:b/>
          <w:bCs/>
          <w:sz w:val="32"/>
          <w:szCs w:val="32"/>
          <w:lang w:val="en-US" w:eastAsia="zh-CN"/>
        </w:rPr>
        <w:t>四是拓宽培训领域，打造教学精品。</w:t>
      </w:r>
      <w:r>
        <w:rPr>
          <w:rFonts w:hint="eastAsia" w:ascii="仿宋_GB2312" w:hAnsi="仿宋_GB2312" w:eastAsia="仿宋_GB2312" w:cs="仿宋_GB2312"/>
          <w:sz w:val="32"/>
          <w:szCs w:val="32"/>
          <w:lang w:val="en-US" w:eastAsia="zh-CN"/>
        </w:rPr>
        <w:t>受疫情影响，我校培训工作线上线下齐头并进，2020年我校共开展培训21期，总计培训1779人次。在团干部、少先队辅导员培训的基础上，挂牌四川青年志愿者学院，新增开展青年志愿者培训；成功申报并承接“国培计划”骨干教师培训项目，此外，承接西藏自治区、内江市、绵阳涪城区、西南油气田等各层级多系统团、队干部培训，培训体系不断完善，培训领域不断拓宽。依托团省委青年理论教学小组，不断创新集体备课形式，采用“线上+线下”、“个人负责+集体合作”相结合的方式，打造了“川渝团青云”“团青微课堂”“志愿微课堂”三大线上课程品牌，其中《战“疫”中的中国制度和中国精神--2020年春季学期“开学第一堂团课”》引起广泛关注，得到了学习强国等多个学习平台的转发报道。</w:t>
      </w:r>
      <w:r>
        <w:rPr>
          <w:rFonts w:hint="eastAsia" w:ascii="仿宋_GB2312" w:hAnsi="仿宋_GB2312" w:eastAsia="仿宋_GB2312" w:cs="仿宋_GB2312"/>
          <w:b/>
          <w:bCs/>
          <w:sz w:val="32"/>
          <w:szCs w:val="32"/>
          <w:lang w:val="en-US" w:eastAsia="zh-CN"/>
        </w:rPr>
        <w:t>五是聚焦主责主业，狠抓培训管理。</w:t>
      </w:r>
      <w:r>
        <w:rPr>
          <w:rFonts w:hint="eastAsia" w:ascii="仿宋_GB2312" w:hAnsi="仿宋_GB2312" w:eastAsia="仿宋_GB2312" w:cs="仿宋_GB2312"/>
          <w:b w:val="0"/>
          <w:bCs w:val="0"/>
          <w:sz w:val="32"/>
          <w:szCs w:val="32"/>
          <w:lang w:val="en-US" w:eastAsia="zh-CN"/>
        </w:rPr>
        <w:t>2020年我校着力打造了一款以“垃圾分类”为主题的志愿者培训互动教学软</w:t>
      </w:r>
      <w:r>
        <w:rPr>
          <w:rFonts w:hint="eastAsia" w:ascii="仿宋_GB2312" w:hAnsi="仿宋_GB2312" w:eastAsia="仿宋_GB2312" w:cs="仿宋_GB2312"/>
          <w:sz w:val="32"/>
          <w:szCs w:val="32"/>
          <w:lang w:val="en-US" w:eastAsia="zh-CN"/>
        </w:rPr>
        <w:t>件，目前已进入试运行阶段。同时顺利完成了四川省少先队标准化队室建设并正式启用，完善了少先队辅导员培训课程体系。修订了《班主任管理办法》，《学员管理办法》，《参训学员档案管理细则》等制度，制定了《四川省团校培训工作疫情防控应急预案》，使培训工作开展更加规范有序。在培训班中，我校还积极探索建立临时党支部，加强学员自我管理、自我教育作用，突出党在青年工作领域特色鲜明的政治学校定位。</w:t>
      </w:r>
      <w:r>
        <w:rPr>
          <w:rFonts w:hint="eastAsia" w:ascii="仿宋_GB2312" w:hAnsi="仿宋_GB2312" w:eastAsia="仿宋_GB2312" w:cs="仿宋_GB2312"/>
          <w:b/>
          <w:bCs/>
          <w:sz w:val="32"/>
          <w:szCs w:val="32"/>
          <w:lang w:val="en-US" w:eastAsia="zh-CN"/>
        </w:rPr>
        <w:t>六是</w:t>
      </w:r>
      <w:r>
        <w:rPr>
          <w:rFonts w:hint="eastAsia" w:ascii="楷体" w:hAnsi="楷体" w:eastAsia="楷体" w:cs="楷体"/>
          <w:b/>
          <w:bCs/>
          <w:sz w:val="32"/>
          <w:szCs w:val="32"/>
          <w:lang w:val="en-US" w:eastAsia="zh-CN"/>
        </w:rPr>
        <w:t>夯实科研水平，提升科研成果。</w:t>
      </w:r>
      <w:r>
        <w:rPr>
          <w:rFonts w:hint="eastAsia" w:ascii="楷体" w:hAnsi="楷体" w:eastAsia="楷体" w:cs="楷体"/>
          <w:b w:val="0"/>
          <w:bCs w:val="0"/>
          <w:i w:val="0"/>
          <w:iCs w:val="0"/>
          <w:sz w:val="32"/>
          <w:szCs w:val="32"/>
          <w:lang w:val="en-US" w:eastAsia="zh-CN"/>
        </w:rPr>
        <w:t>2020年</w:t>
      </w:r>
      <w:r>
        <w:rPr>
          <w:rFonts w:hint="eastAsia" w:ascii="仿宋_GB2312" w:hAnsi="仿宋_GB2312" w:eastAsia="仿宋_GB2312" w:cs="仿宋_GB2312"/>
          <w:b w:val="0"/>
          <w:bCs w:val="0"/>
          <w:i w:val="0"/>
          <w:iCs w:val="0"/>
          <w:sz w:val="32"/>
          <w:szCs w:val="32"/>
          <w:lang w:val="en-US" w:eastAsia="zh-CN"/>
        </w:rPr>
        <w:t>我校主持</w:t>
      </w:r>
      <w:r>
        <w:rPr>
          <w:rFonts w:hint="eastAsia" w:ascii="仿宋_GB2312" w:hAnsi="仿宋_GB2312" w:eastAsia="仿宋_GB2312" w:cs="仿宋_GB2312"/>
          <w:sz w:val="32"/>
          <w:szCs w:val="32"/>
          <w:lang w:val="en-US" w:eastAsia="zh-CN"/>
        </w:rPr>
        <w:t>的《大学生志愿服务西部计划成效研究-以四川省为列》和《多元共治视角下的志愿服务与社区治理创新机制研究》顺利结项，分别荣获四川省青年志愿者协会“一等奖”和“二等奖”；《提高共青团对国家治理体系和治理能力现代化的贡献度研究》获中国青少年研究会年度一般项目立项，目前已完成研究结项。我校教师公开发表论文7篇，2篇文章被人大复印报刊资料《青少年导刊》全文转载；组织编写了《团青研究动态》3期。发布了《四川省团校2020年度一般课题申报指南》，共有6项校内课题获得立项。为深入开展我省青运史研究，我校编写的青运史研究教材《红色青春耀蜀地--四川省青年运动纪念地通览》一书于2020年10月正式在四川大学出版社出版。2020年我校还取得了《新生代》杂志全年的出版印刷发行条码和邮发代号，《新生代》期刊成功申请变更为双月刊和中国期刊全文数据库（中国知网）收录期刊。2020年共出版6期《新生代》杂志。</w:t>
      </w:r>
      <w:r>
        <w:rPr>
          <w:rFonts w:hint="eastAsia" w:ascii="仿宋_GB2312" w:hAnsi="仿宋_GB2312" w:eastAsia="仿宋_GB2312" w:cs="仿宋_GB2312"/>
          <w:b/>
          <w:bCs/>
          <w:sz w:val="32"/>
          <w:szCs w:val="32"/>
          <w:lang w:val="en-US" w:eastAsia="zh-CN"/>
        </w:rPr>
        <w:t>七是全面从严治团，加强队伍建设。</w:t>
      </w:r>
      <w:r>
        <w:rPr>
          <w:rFonts w:hint="eastAsia" w:ascii="仿宋_GB2312" w:hAnsi="仿宋_GB2312" w:eastAsia="仿宋_GB2312" w:cs="仿宋_GB2312"/>
          <w:sz w:val="32"/>
          <w:szCs w:val="32"/>
          <w:lang w:val="en-US" w:eastAsia="zh-CN"/>
        </w:rPr>
        <w:t>为全面贯彻从严治团精神，加强师资队伍建设，不断提高团校青年教师教学基本功，充分发挥教学竞赛在提高教师队伍素质中的示范引领作用，我校于5月和7月分别举办了第七期、第八期新课竞标大赛。2名青年教师成功获得新课授课资格，实现了我校年轻教师全部走上讲台。我校青年理论教学小组被中共四川省直属机关工委授予“青年学习标兵集体”。同时完成了43名职工薪级工资晋升、15名职工职务续聘、6名职工职务晋升、4名职工转正定级，1名驻村干部生活补助标准和专项奖励的核定发放等业务工作。</w:t>
      </w:r>
      <w:r>
        <w:rPr>
          <w:rFonts w:hint="eastAsia" w:ascii="仿宋_GB2312" w:hAnsi="仿宋_GB2312" w:eastAsia="仿宋_GB2312" w:cs="仿宋_GB2312"/>
          <w:b/>
          <w:bCs/>
          <w:sz w:val="32"/>
          <w:szCs w:val="32"/>
          <w:lang w:val="en-US" w:eastAsia="zh-CN"/>
        </w:rPr>
        <w:t>八是完善后勤保障、提高服务质量。</w:t>
      </w:r>
      <w:r>
        <w:rPr>
          <w:rFonts w:hint="eastAsia" w:ascii="仿宋_GB2312" w:hAnsi="仿宋_GB2312" w:eastAsia="仿宋_GB2312" w:cs="仿宋_GB2312"/>
          <w:sz w:val="32"/>
          <w:szCs w:val="32"/>
          <w:lang w:val="en-US" w:eastAsia="zh-CN"/>
        </w:rPr>
        <w:t>2020年我校严格执行各项政策和规章制度，完善和制定一系列规章制度，保障了学校各项事务的有序开展。成功开通了工会经费专用账户，工会经费实现了专款专用。顺利通过了四川省财政厅关于财经纪律执行情况和会计信息质量情况的检查。同年对综合楼进行了全面的卫生防疫和设施维修，对校园的绿化、设施进行改造，增加了阶梯教室休息室、卫生间等功能性用房，为今后培训工作的顺利开展打下了坚实基础。</w:t>
      </w:r>
    </w:p>
    <w:p>
      <w:pPr>
        <w:pStyle w:val="7"/>
        <w:rPr>
          <w:rFonts w:hint="eastAsia"/>
          <w:lang w:val="en-US" w:eastAsia="zh-CN"/>
        </w:rPr>
      </w:pPr>
    </w:p>
    <w:p>
      <w:pPr>
        <w:pStyle w:val="7"/>
        <w:rPr>
          <w:rFonts w:hint="eastAsia"/>
          <w:lang w:val="en-US" w:eastAsia="zh-CN"/>
        </w:rPr>
      </w:pPr>
    </w:p>
    <w:p>
      <w:pPr>
        <w:numPr>
          <w:ilvl w:val="0"/>
          <w:numId w:val="0"/>
        </w:numPr>
        <w:rPr>
          <w:rFonts w:ascii="仿宋" w:hAnsi="仿宋" w:eastAsia="仿宋"/>
          <w:color w:val="auto"/>
          <w:kern w:val="0"/>
          <w:sz w:val="32"/>
          <w:szCs w:val="32"/>
        </w:rPr>
      </w:pPr>
      <w:r>
        <w:rPr>
          <w:rFonts w:hint="eastAsia"/>
          <w:lang w:val="en-US" w:eastAsia="zh-CN"/>
        </w:rPr>
        <w:t xml:space="preserve">  </w:t>
      </w:r>
    </w:p>
    <w:p>
      <w:pPr>
        <w:pStyle w:val="4"/>
        <w:keepNext/>
        <w:keepLines/>
        <w:pageBreakBefore w:val="0"/>
        <w:widowControl w:val="0"/>
        <w:kinsoku/>
        <w:wordWrap/>
        <w:overflowPunct/>
        <w:topLinePunct w:val="0"/>
        <w:autoSpaceDE/>
        <w:autoSpaceDN/>
        <w:bidi w:val="0"/>
        <w:adjustRightInd/>
        <w:snapToGrid/>
        <w:spacing w:before="0" w:after="0" w:line="579" w:lineRule="auto"/>
        <w:jc w:val="center"/>
        <w:textAlignment w:val="auto"/>
        <w:outlineLvl w:val="0"/>
        <w:rPr>
          <w:rFonts w:hint="eastAsia" w:ascii="黑体" w:hAnsi="黑体" w:eastAsia="黑体"/>
          <w:b w:val="0"/>
          <w:color w:val="auto"/>
          <w:lang w:eastAsia="zh-CN"/>
        </w:rPr>
      </w:pPr>
      <w:bookmarkStart w:id="20" w:name="_Toc4536"/>
      <w:r>
        <w:rPr>
          <w:rFonts w:hint="eastAsia" w:ascii="黑体" w:hAnsi="黑体" w:eastAsia="黑体"/>
          <w:b w:val="0"/>
          <w:color w:val="auto"/>
        </w:rPr>
        <w:t>第二部分</w:t>
      </w:r>
      <w:r>
        <w:rPr>
          <w:rFonts w:hint="eastAsia" w:ascii="黑体" w:hAnsi="黑体" w:eastAsia="黑体"/>
          <w:b w:val="0"/>
          <w:color w:val="auto"/>
          <w:lang w:val="en-US" w:eastAsia="zh-CN"/>
        </w:rPr>
        <w:t xml:space="preserve"> 2020年度</w:t>
      </w:r>
      <w:r>
        <w:rPr>
          <w:rFonts w:hint="eastAsia" w:ascii="黑体" w:hAnsi="黑体" w:eastAsia="黑体"/>
          <w:b w:val="0"/>
          <w:color w:val="auto"/>
          <w:lang w:eastAsia="zh-CN"/>
        </w:rPr>
        <w:t>单位</w:t>
      </w:r>
      <w:r>
        <w:rPr>
          <w:rFonts w:hint="eastAsia" w:ascii="黑体" w:hAnsi="黑体" w:eastAsia="黑体"/>
          <w:b w:val="0"/>
          <w:color w:val="auto"/>
        </w:rPr>
        <w:t>决算情况说明</w:t>
      </w:r>
      <w:bookmarkEnd w:id="20"/>
    </w:p>
    <w:p>
      <w:pPr>
        <w:pStyle w:val="27"/>
        <w:numPr>
          <w:ilvl w:val="0"/>
          <w:numId w:val="1"/>
        </w:numPr>
        <w:spacing w:line="600" w:lineRule="exact"/>
        <w:ind w:firstLineChars="0"/>
        <w:outlineLvl w:val="1"/>
        <w:rPr>
          <w:rStyle w:val="29"/>
          <w:rFonts w:ascii="黑体" w:hAnsi="黑体" w:eastAsia="黑体"/>
          <w:b w:val="0"/>
          <w:color w:val="auto"/>
        </w:rPr>
      </w:pPr>
      <w:bookmarkStart w:id="21" w:name="_Toc15396603"/>
      <w:bookmarkStart w:id="22" w:name="_Toc15377205"/>
      <w:bookmarkStart w:id="23" w:name="_Toc21031"/>
      <w:r>
        <w:rPr>
          <w:rFonts w:hint="eastAsia" w:ascii="黑体" w:hAnsi="黑体" w:eastAsia="黑体"/>
          <w:color w:val="auto"/>
          <w:sz w:val="32"/>
          <w:szCs w:val="32"/>
        </w:rPr>
        <w:t>收</w:t>
      </w:r>
      <w:r>
        <w:rPr>
          <w:rStyle w:val="29"/>
          <w:rFonts w:hint="eastAsia" w:ascii="黑体" w:hAnsi="黑体" w:eastAsia="黑体"/>
          <w:b w:val="0"/>
          <w:color w:val="auto"/>
        </w:rPr>
        <w:t>入支出决算总体情况说明</w:t>
      </w:r>
      <w:bookmarkEnd w:id="21"/>
      <w:bookmarkEnd w:id="22"/>
      <w:bookmarkEnd w:id="23"/>
    </w:p>
    <w:p>
      <w:pPr>
        <w:spacing w:line="600" w:lineRule="exact"/>
        <w:ind w:firstLine="640" w:firstLineChars="200"/>
        <w:rPr>
          <w:rFonts w:hint="default" w:ascii="仿宋" w:hAnsi="仿宋" w:eastAsia="仿宋"/>
          <w:color w:val="auto"/>
          <w:sz w:val="32"/>
          <w:szCs w:val="32"/>
          <w:lang w:val="en-US" w:eastAsia="zh-CN"/>
        </w:rPr>
      </w:pPr>
      <w:r>
        <w:rPr>
          <w:rFonts w:hint="eastAsia" w:ascii="仿宋" w:hAnsi="仿宋" w:eastAsia="仿宋"/>
          <w:color w:val="auto"/>
          <w:sz w:val="32"/>
          <w:szCs w:val="32"/>
        </w:rPr>
        <w:t>20</w:t>
      </w:r>
      <w:r>
        <w:rPr>
          <w:rFonts w:hint="eastAsia" w:ascii="仿宋" w:hAnsi="仿宋" w:eastAsia="仿宋"/>
          <w:color w:val="auto"/>
          <w:sz w:val="32"/>
          <w:szCs w:val="32"/>
          <w:lang w:val="en-US" w:eastAsia="zh-CN"/>
        </w:rPr>
        <w:t>20</w:t>
      </w:r>
      <w:r>
        <w:rPr>
          <w:rFonts w:hint="eastAsia" w:ascii="仿宋" w:hAnsi="仿宋" w:eastAsia="仿宋"/>
          <w:color w:val="auto"/>
          <w:sz w:val="32"/>
          <w:szCs w:val="32"/>
        </w:rPr>
        <w:t>年度收、支总计</w:t>
      </w:r>
      <w:r>
        <w:rPr>
          <w:rFonts w:hint="eastAsia" w:ascii="仿宋" w:hAnsi="仿宋" w:eastAsia="仿宋"/>
          <w:color w:val="auto"/>
          <w:sz w:val="32"/>
          <w:szCs w:val="32"/>
          <w:lang w:val="en-US" w:eastAsia="zh-CN"/>
        </w:rPr>
        <w:t>1553.15</w:t>
      </w:r>
      <w:r>
        <w:rPr>
          <w:rFonts w:hint="eastAsia" w:ascii="仿宋" w:hAnsi="仿宋" w:eastAsia="仿宋"/>
          <w:color w:val="auto"/>
          <w:sz w:val="32"/>
          <w:szCs w:val="32"/>
        </w:rPr>
        <w:t>万元。与201</w:t>
      </w:r>
      <w:r>
        <w:rPr>
          <w:rFonts w:hint="eastAsia" w:ascii="仿宋" w:hAnsi="仿宋" w:eastAsia="仿宋"/>
          <w:color w:val="auto"/>
          <w:sz w:val="32"/>
          <w:szCs w:val="32"/>
          <w:lang w:val="en-US" w:eastAsia="zh-CN"/>
        </w:rPr>
        <w:t>9</w:t>
      </w:r>
      <w:r>
        <w:rPr>
          <w:rFonts w:hint="eastAsia" w:ascii="仿宋" w:hAnsi="仿宋" w:eastAsia="仿宋"/>
          <w:color w:val="auto"/>
          <w:sz w:val="32"/>
          <w:szCs w:val="32"/>
        </w:rPr>
        <w:t>年相比，收、支总计各增加</w:t>
      </w:r>
      <w:r>
        <w:rPr>
          <w:rFonts w:hint="eastAsia" w:ascii="仿宋" w:hAnsi="仿宋" w:eastAsia="仿宋"/>
          <w:color w:val="auto"/>
          <w:sz w:val="32"/>
          <w:szCs w:val="32"/>
          <w:lang w:val="en-US" w:eastAsia="zh-CN"/>
        </w:rPr>
        <w:t>465.2</w:t>
      </w:r>
      <w:r>
        <w:rPr>
          <w:rFonts w:hint="eastAsia" w:ascii="仿宋" w:hAnsi="仿宋" w:eastAsia="仿宋"/>
          <w:color w:val="auto"/>
          <w:sz w:val="32"/>
          <w:szCs w:val="32"/>
        </w:rPr>
        <w:t>万元，增长</w:t>
      </w:r>
      <w:r>
        <w:rPr>
          <w:rFonts w:hint="eastAsia" w:ascii="仿宋" w:hAnsi="仿宋" w:eastAsia="仿宋"/>
          <w:color w:val="auto"/>
          <w:sz w:val="32"/>
          <w:szCs w:val="32"/>
          <w:lang w:val="en-US" w:eastAsia="zh-CN"/>
        </w:rPr>
        <w:t>42.76</w:t>
      </w:r>
      <w:r>
        <w:rPr>
          <w:rFonts w:ascii="仿宋" w:hAnsi="仿宋" w:eastAsia="仿宋"/>
          <w:color w:val="auto"/>
          <w:sz w:val="32"/>
          <w:szCs w:val="32"/>
        </w:rPr>
        <w:t>%</w:t>
      </w:r>
      <w:r>
        <w:rPr>
          <w:rFonts w:hint="eastAsia" w:ascii="仿宋" w:hAnsi="仿宋" w:eastAsia="仿宋"/>
          <w:color w:val="auto"/>
          <w:sz w:val="32"/>
          <w:szCs w:val="32"/>
        </w:rPr>
        <w:t>。主要变动原因</w:t>
      </w:r>
      <w:r>
        <w:rPr>
          <w:rFonts w:hint="eastAsia" w:ascii="仿宋" w:hAnsi="仿宋" w:eastAsia="仿宋"/>
          <w:color w:val="auto"/>
          <w:sz w:val="32"/>
          <w:szCs w:val="32"/>
          <w:lang w:val="en-US" w:eastAsia="zh-CN"/>
        </w:rPr>
        <w:t>是教育培训、住房保障、公共服务支出的增加等。</w:t>
      </w:r>
    </w:p>
    <w:p>
      <w:pPr>
        <w:spacing w:line="600" w:lineRule="exact"/>
        <w:ind w:firstLine="640" w:firstLineChars="200"/>
        <w:jc w:val="both"/>
        <w:rPr>
          <w:rFonts w:ascii="仿宋_GB2312" w:eastAsia="仿宋_GB2312"/>
          <w:color w:val="auto"/>
          <w:sz w:val="32"/>
          <w:szCs w:val="32"/>
        </w:rPr>
      </w:pPr>
      <w:r>
        <w:rPr>
          <w:rFonts w:hint="eastAsia" w:ascii="仿宋" w:hAnsi="仿宋" w:eastAsia="仿宋"/>
          <w:color w:val="auto"/>
          <w:sz w:val="32"/>
          <w:szCs w:val="32"/>
        </w:rPr>
        <w:t>（图</w:t>
      </w:r>
      <w:r>
        <w:rPr>
          <w:rFonts w:ascii="仿宋" w:hAnsi="仿宋" w:eastAsia="仿宋"/>
          <w:color w:val="auto"/>
          <w:sz w:val="32"/>
          <w:szCs w:val="32"/>
        </w:rPr>
        <w:t>1</w:t>
      </w:r>
      <w:r>
        <w:rPr>
          <w:rFonts w:hint="eastAsia" w:ascii="仿宋" w:hAnsi="仿宋" w:eastAsia="仿宋"/>
          <w:color w:val="auto"/>
          <w:sz w:val="32"/>
          <w:szCs w:val="32"/>
        </w:rPr>
        <w:t>：收、支决算总计变动情况图）</w:t>
      </w:r>
      <w:r>
        <w:rPr>
          <w:rFonts w:hint="eastAsia" w:ascii="仿宋" w:hAnsi="仿宋" w:eastAsia="仿宋"/>
          <w:color w:val="auto"/>
          <w:sz w:val="32"/>
          <w:szCs w:val="32"/>
          <w:lang w:val="en-US" w:eastAsia="zh-CN"/>
        </w:rPr>
        <w:t>单位：万元</w:t>
      </w:r>
    </w:p>
    <w:p>
      <w:pPr>
        <w:pStyle w:val="2"/>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drawing>
          <wp:inline distT="0" distB="0" distL="114300" distR="114300">
            <wp:extent cx="5080000" cy="4702810"/>
            <wp:effectExtent l="4445" t="4445" r="20955" b="1714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27"/>
        <w:numPr>
          <w:ilvl w:val="0"/>
          <w:numId w:val="1"/>
        </w:numPr>
        <w:spacing w:line="600" w:lineRule="exact"/>
        <w:ind w:firstLineChars="0"/>
        <w:outlineLvl w:val="1"/>
        <w:rPr>
          <w:rStyle w:val="29"/>
          <w:rFonts w:ascii="黑体" w:hAnsi="黑体" w:eastAsia="黑体"/>
          <w:b w:val="0"/>
          <w:color w:val="auto"/>
        </w:rPr>
      </w:pPr>
      <w:bookmarkStart w:id="24" w:name="_Toc32391"/>
      <w:bookmarkStart w:id="25" w:name="_Toc15396604"/>
      <w:bookmarkStart w:id="26" w:name="_Toc15377206"/>
      <w:r>
        <w:rPr>
          <w:rFonts w:hint="eastAsia" w:ascii="黑体" w:hAnsi="黑体" w:eastAsia="黑体"/>
          <w:color w:val="auto"/>
          <w:sz w:val="32"/>
          <w:szCs w:val="32"/>
        </w:rPr>
        <w:t>收</w:t>
      </w:r>
      <w:r>
        <w:rPr>
          <w:rStyle w:val="29"/>
          <w:rFonts w:hint="eastAsia" w:ascii="黑体" w:hAnsi="黑体" w:eastAsia="黑体"/>
          <w:b w:val="0"/>
          <w:color w:val="auto"/>
        </w:rPr>
        <w:t>入决算情况说明</w:t>
      </w:r>
      <w:bookmarkEnd w:id="24"/>
      <w:bookmarkEnd w:id="25"/>
      <w:bookmarkEnd w:id="26"/>
    </w:p>
    <w:p>
      <w:pPr>
        <w:spacing w:line="600" w:lineRule="exact"/>
        <w:ind w:firstLine="640" w:firstLineChars="200"/>
        <w:outlineLvl w:val="9"/>
        <w:rPr>
          <w:rFonts w:hint="eastAsia" w:ascii="仿宋" w:hAnsi="仿宋" w:eastAsia="仿宋"/>
          <w:color w:val="auto"/>
          <w:sz w:val="32"/>
          <w:szCs w:val="32"/>
        </w:rPr>
      </w:pPr>
      <w:r>
        <w:rPr>
          <w:rFonts w:ascii="仿宋" w:hAnsi="仿宋" w:eastAsia="仿宋"/>
          <w:color w:val="auto"/>
          <w:sz w:val="32"/>
          <w:szCs w:val="32"/>
        </w:rPr>
        <w:t>20</w:t>
      </w:r>
      <w:r>
        <w:rPr>
          <w:rFonts w:hint="eastAsia" w:ascii="仿宋" w:hAnsi="仿宋" w:eastAsia="仿宋"/>
          <w:color w:val="auto"/>
          <w:sz w:val="32"/>
          <w:szCs w:val="32"/>
          <w:lang w:val="en-US" w:eastAsia="zh-CN"/>
        </w:rPr>
        <w:t>20</w:t>
      </w:r>
      <w:r>
        <w:rPr>
          <w:rFonts w:hint="eastAsia" w:ascii="仿宋" w:hAnsi="仿宋" w:eastAsia="仿宋"/>
          <w:color w:val="auto"/>
          <w:sz w:val="32"/>
          <w:szCs w:val="32"/>
        </w:rPr>
        <w:t>年本年收入合计</w:t>
      </w:r>
      <w:r>
        <w:rPr>
          <w:rFonts w:hint="eastAsia" w:ascii="仿宋" w:hAnsi="仿宋" w:eastAsia="仿宋"/>
          <w:color w:val="auto"/>
          <w:sz w:val="32"/>
          <w:szCs w:val="32"/>
          <w:lang w:val="en-US" w:eastAsia="zh-CN"/>
        </w:rPr>
        <w:t>1553.15</w:t>
      </w:r>
      <w:r>
        <w:rPr>
          <w:rFonts w:hint="eastAsia" w:ascii="仿宋" w:hAnsi="仿宋" w:eastAsia="仿宋"/>
          <w:color w:val="auto"/>
          <w:sz w:val="32"/>
          <w:szCs w:val="32"/>
        </w:rPr>
        <w:t>万元，其中：一般公共预算财政拨款收入</w:t>
      </w:r>
      <w:r>
        <w:rPr>
          <w:rFonts w:hint="eastAsia" w:ascii="仿宋" w:hAnsi="仿宋" w:eastAsia="仿宋"/>
          <w:color w:val="auto"/>
          <w:sz w:val="32"/>
          <w:szCs w:val="32"/>
          <w:lang w:val="en-US" w:eastAsia="zh-CN"/>
        </w:rPr>
        <w:t>736.54</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47.42</w:t>
      </w:r>
      <w:r>
        <w:rPr>
          <w:rFonts w:ascii="仿宋" w:hAnsi="仿宋" w:eastAsia="仿宋"/>
          <w:color w:val="auto"/>
          <w:sz w:val="32"/>
          <w:szCs w:val="32"/>
        </w:rPr>
        <w:t>%</w:t>
      </w:r>
      <w:r>
        <w:rPr>
          <w:rFonts w:hint="eastAsia" w:ascii="仿宋" w:hAnsi="仿宋" w:eastAsia="仿宋"/>
          <w:color w:val="auto"/>
          <w:sz w:val="32"/>
          <w:szCs w:val="32"/>
        </w:rPr>
        <w:t>；政府性基金预算财政拨款收入</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0</w:t>
      </w:r>
      <w:r>
        <w:rPr>
          <w:rFonts w:ascii="仿宋" w:hAnsi="仿宋" w:eastAsia="仿宋"/>
          <w:color w:val="auto"/>
          <w:sz w:val="32"/>
          <w:szCs w:val="32"/>
        </w:rPr>
        <w:t>%</w:t>
      </w:r>
      <w:r>
        <w:rPr>
          <w:rFonts w:hint="eastAsia" w:ascii="仿宋" w:hAnsi="仿宋" w:eastAsia="仿宋"/>
          <w:color w:val="auto"/>
          <w:sz w:val="32"/>
          <w:szCs w:val="32"/>
        </w:rPr>
        <w:t>；上级补助收入</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0</w:t>
      </w:r>
      <w:r>
        <w:rPr>
          <w:rFonts w:ascii="仿宋" w:hAnsi="仿宋" w:eastAsia="仿宋"/>
          <w:color w:val="auto"/>
          <w:sz w:val="32"/>
          <w:szCs w:val="32"/>
        </w:rPr>
        <w:t>%</w:t>
      </w:r>
      <w:r>
        <w:rPr>
          <w:rFonts w:hint="eastAsia" w:ascii="仿宋" w:hAnsi="仿宋" w:eastAsia="仿宋"/>
          <w:color w:val="auto"/>
          <w:sz w:val="32"/>
          <w:szCs w:val="32"/>
        </w:rPr>
        <w:t>；事业收入</w:t>
      </w:r>
      <w:r>
        <w:rPr>
          <w:rFonts w:hint="eastAsia" w:ascii="仿宋" w:hAnsi="仿宋" w:eastAsia="仿宋"/>
          <w:color w:val="auto"/>
          <w:sz w:val="32"/>
          <w:szCs w:val="32"/>
          <w:lang w:val="en-US" w:eastAsia="zh-CN"/>
        </w:rPr>
        <w:t>813.18</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52.36</w:t>
      </w:r>
      <w:r>
        <w:rPr>
          <w:rFonts w:ascii="仿宋" w:hAnsi="仿宋" w:eastAsia="仿宋"/>
          <w:color w:val="auto"/>
          <w:sz w:val="32"/>
          <w:szCs w:val="32"/>
        </w:rPr>
        <w:t>%</w:t>
      </w:r>
      <w:r>
        <w:rPr>
          <w:rFonts w:hint="eastAsia" w:ascii="仿宋" w:hAnsi="仿宋" w:eastAsia="仿宋"/>
          <w:color w:val="auto"/>
          <w:sz w:val="32"/>
          <w:szCs w:val="32"/>
        </w:rPr>
        <w:t>；经营收入</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0</w:t>
      </w:r>
      <w:r>
        <w:rPr>
          <w:rFonts w:ascii="仿宋" w:hAnsi="仿宋" w:eastAsia="仿宋"/>
          <w:color w:val="auto"/>
          <w:sz w:val="32"/>
          <w:szCs w:val="32"/>
        </w:rPr>
        <w:t>%</w:t>
      </w:r>
      <w:r>
        <w:rPr>
          <w:rFonts w:hint="eastAsia" w:ascii="仿宋" w:hAnsi="仿宋" w:eastAsia="仿宋"/>
          <w:color w:val="auto"/>
          <w:sz w:val="32"/>
          <w:szCs w:val="32"/>
        </w:rPr>
        <w:t>；附属单位上缴收入</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0</w:t>
      </w:r>
      <w:r>
        <w:rPr>
          <w:rFonts w:ascii="仿宋" w:hAnsi="仿宋" w:eastAsia="仿宋"/>
          <w:color w:val="auto"/>
          <w:sz w:val="32"/>
          <w:szCs w:val="32"/>
        </w:rPr>
        <w:t>%</w:t>
      </w:r>
      <w:r>
        <w:rPr>
          <w:rFonts w:hint="eastAsia" w:ascii="仿宋" w:hAnsi="仿宋" w:eastAsia="仿宋"/>
          <w:color w:val="auto"/>
          <w:sz w:val="32"/>
          <w:szCs w:val="32"/>
        </w:rPr>
        <w:t>；其他收入</w:t>
      </w:r>
      <w:r>
        <w:rPr>
          <w:rFonts w:hint="eastAsia" w:ascii="仿宋" w:hAnsi="仿宋" w:eastAsia="仿宋"/>
          <w:color w:val="auto"/>
          <w:sz w:val="32"/>
          <w:szCs w:val="32"/>
          <w:lang w:val="en-US" w:eastAsia="zh-CN"/>
        </w:rPr>
        <w:t>3.43</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0.22%。</w:t>
      </w:r>
    </w:p>
    <w:p>
      <w:pPr>
        <w:spacing w:line="600" w:lineRule="exact"/>
        <w:jc w:val="center"/>
        <w:rPr>
          <w:rFonts w:hint="default" w:ascii="仿宋_GB2312" w:eastAsia="仿宋"/>
          <w:color w:val="auto"/>
          <w:sz w:val="32"/>
          <w:szCs w:val="32"/>
          <w:lang w:val="en-US" w:eastAsia="zh-CN"/>
        </w:rPr>
      </w:pPr>
      <w:r>
        <w:rPr>
          <w:rFonts w:hint="eastAsia" w:ascii="仿宋" w:hAnsi="仿宋" w:eastAsia="仿宋"/>
          <w:color w:val="auto"/>
          <w:sz w:val="32"/>
          <w:szCs w:val="32"/>
        </w:rPr>
        <w:t>（图2：收入决算结构图）</w:t>
      </w:r>
      <w:r>
        <w:rPr>
          <w:rFonts w:hint="eastAsia" w:ascii="仿宋" w:hAnsi="仿宋" w:eastAsia="仿宋"/>
          <w:color w:val="auto"/>
          <w:sz w:val="32"/>
          <w:szCs w:val="32"/>
          <w:lang w:val="en-US" w:eastAsia="zh-CN"/>
        </w:rPr>
        <w:t xml:space="preserve">   单位：万元</w:t>
      </w:r>
    </w:p>
    <w:p>
      <w:pPr>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drawing>
          <wp:inline distT="0" distB="0" distL="114300" distR="114300">
            <wp:extent cx="5080000" cy="3810000"/>
            <wp:effectExtent l="4445" t="4445" r="20955" b="1460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pStyle w:val="19"/>
        <w:rPr>
          <w:rFonts w:hint="eastAsia"/>
          <w:lang w:val="en-US" w:eastAsia="zh-CN"/>
        </w:rPr>
      </w:pPr>
    </w:p>
    <w:p>
      <w:pPr>
        <w:pStyle w:val="27"/>
        <w:numPr>
          <w:ilvl w:val="0"/>
          <w:numId w:val="1"/>
        </w:numPr>
        <w:spacing w:line="600" w:lineRule="exact"/>
        <w:ind w:firstLineChars="0"/>
        <w:outlineLvl w:val="1"/>
        <w:rPr>
          <w:rStyle w:val="29"/>
          <w:rFonts w:ascii="黑体" w:hAnsi="黑体" w:eastAsia="黑体"/>
          <w:b w:val="0"/>
          <w:color w:val="auto"/>
        </w:rPr>
      </w:pPr>
      <w:bookmarkStart w:id="27" w:name="_Toc15377207"/>
      <w:bookmarkStart w:id="28" w:name="_Toc27404"/>
      <w:bookmarkStart w:id="29" w:name="_Toc15396605"/>
      <w:r>
        <w:rPr>
          <w:rFonts w:hint="eastAsia" w:ascii="黑体" w:hAnsi="黑体" w:eastAsia="黑体"/>
          <w:color w:val="auto"/>
          <w:sz w:val="32"/>
          <w:szCs w:val="32"/>
        </w:rPr>
        <w:t>支</w:t>
      </w:r>
      <w:r>
        <w:rPr>
          <w:rStyle w:val="29"/>
          <w:rFonts w:hint="eastAsia" w:ascii="黑体" w:hAnsi="黑体" w:eastAsia="黑体"/>
          <w:b w:val="0"/>
          <w:color w:val="auto"/>
        </w:rPr>
        <w:t>出决算情况说明</w:t>
      </w:r>
      <w:bookmarkEnd w:id="27"/>
      <w:bookmarkEnd w:id="28"/>
      <w:bookmarkEnd w:id="29"/>
    </w:p>
    <w:p>
      <w:pPr>
        <w:spacing w:line="600" w:lineRule="exact"/>
        <w:ind w:firstLine="640" w:firstLineChars="200"/>
        <w:outlineLvl w:val="9"/>
        <w:rPr>
          <w:rFonts w:hint="eastAsia" w:ascii="仿宋" w:hAnsi="仿宋" w:eastAsia="仿宋"/>
          <w:color w:val="auto"/>
          <w:sz w:val="32"/>
          <w:szCs w:val="32"/>
        </w:rPr>
      </w:pPr>
      <w:r>
        <w:rPr>
          <w:rFonts w:ascii="仿宋" w:hAnsi="仿宋" w:eastAsia="仿宋"/>
          <w:color w:val="auto"/>
          <w:sz w:val="32"/>
          <w:szCs w:val="32"/>
        </w:rPr>
        <w:t>20</w:t>
      </w:r>
      <w:r>
        <w:rPr>
          <w:rFonts w:hint="eastAsia" w:ascii="仿宋" w:hAnsi="仿宋" w:eastAsia="仿宋"/>
          <w:color w:val="auto"/>
          <w:sz w:val="32"/>
          <w:szCs w:val="32"/>
          <w:lang w:val="en-US" w:eastAsia="zh-CN"/>
        </w:rPr>
        <w:t>20</w:t>
      </w:r>
      <w:r>
        <w:rPr>
          <w:rFonts w:hint="eastAsia" w:ascii="仿宋" w:hAnsi="仿宋" w:eastAsia="仿宋"/>
          <w:color w:val="auto"/>
          <w:sz w:val="32"/>
          <w:szCs w:val="32"/>
        </w:rPr>
        <w:t>年本年支出合计</w:t>
      </w:r>
      <w:r>
        <w:rPr>
          <w:rFonts w:hint="eastAsia" w:ascii="仿宋" w:hAnsi="仿宋" w:eastAsia="仿宋"/>
          <w:color w:val="auto"/>
          <w:sz w:val="32"/>
          <w:szCs w:val="32"/>
          <w:lang w:val="en-US" w:eastAsia="zh-CN"/>
        </w:rPr>
        <w:t>1277.45</w:t>
      </w:r>
      <w:r>
        <w:rPr>
          <w:rFonts w:hint="eastAsia" w:ascii="仿宋" w:hAnsi="仿宋" w:eastAsia="仿宋"/>
          <w:color w:val="auto"/>
          <w:sz w:val="32"/>
          <w:szCs w:val="32"/>
        </w:rPr>
        <w:t>万元，其中：基本支出</w:t>
      </w:r>
      <w:r>
        <w:rPr>
          <w:rFonts w:hint="eastAsia" w:ascii="仿宋" w:hAnsi="仿宋" w:eastAsia="仿宋"/>
          <w:color w:val="auto"/>
          <w:sz w:val="32"/>
          <w:szCs w:val="32"/>
          <w:lang w:val="en-US" w:eastAsia="zh-CN"/>
        </w:rPr>
        <w:t>1157.45</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90.61</w:t>
      </w:r>
      <w:r>
        <w:rPr>
          <w:rFonts w:ascii="仿宋" w:hAnsi="仿宋" w:eastAsia="仿宋"/>
          <w:color w:val="auto"/>
          <w:sz w:val="32"/>
          <w:szCs w:val="32"/>
        </w:rPr>
        <w:t>%</w:t>
      </w:r>
      <w:r>
        <w:rPr>
          <w:rFonts w:hint="eastAsia" w:ascii="仿宋" w:hAnsi="仿宋" w:eastAsia="仿宋"/>
          <w:color w:val="auto"/>
          <w:sz w:val="32"/>
          <w:szCs w:val="32"/>
        </w:rPr>
        <w:t>；项目支出</w:t>
      </w:r>
      <w:r>
        <w:rPr>
          <w:rFonts w:hint="eastAsia" w:ascii="仿宋" w:hAnsi="仿宋" w:eastAsia="仿宋"/>
          <w:color w:val="auto"/>
          <w:sz w:val="32"/>
          <w:szCs w:val="32"/>
          <w:lang w:val="en-US" w:eastAsia="zh-CN"/>
        </w:rPr>
        <w:t>120</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9.39</w:t>
      </w:r>
      <w:r>
        <w:rPr>
          <w:rFonts w:ascii="仿宋" w:hAnsi="仿宋" w:eastAsia="仿宋"/>
          <w:color w:val="auto"/>
          <w:sz w:val="32"/>
          <w:szCs w:val="32"/>
        </w:rPr>
        <w:t>%</w:t>
      </w:r>
      <w:r>
        <w:rPr>
          <w:rFonts w:hint="eastAsia" w:ascii="仿宋" w:hAnsi="仿宋" w:eastAsia="仿宋"/>
          <w:color w:val="auto"/>
          <w:sz w:val="32"/>
          <w:szCs w:val="32"/>
        </w:rPr>
        <w:t>；上缴上级支出</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0</w:t>
      </w:r>
      <w:r>
        <w:rPr>
          <w:rFonts w:ascii="仿宋" w:hAnsi="仿宋" w:eastAsia="仿宋"/>
          <w:color w:val="auto"/>
          <w:sz w:val="32"/>
          <w:szCs w:val="32"/>
        </w:rPr>
        <w:t>%</w:t>
      </w:r>
      <w:r>
        <w:rPr>
          <w:rFonts w:hint="eastAsia" w:ascii="仿宋" w:hAnsi="仿宋" w:eastAsia="仿宋"/>
          <w:color w:val="auto"/>
          <w:sz w:val="32"/>
          <w:szCs w:val="32"/>
        </w:rPr>
        <w:t>；经营支出</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0</w:t>
      </w:r>
      <w:r>
        <w:rPr>
          <w:rFonts w:ascii="仿宋" w:hAnsi="仿宋" w:eastAsia="仿宋"/>
          <w:color w:val="auto"/>
          <w:sz w:val="32"/>
          <w:szCs w:val="32"/>
        </w:rPr>
        <w:t>%</w:t>
      </w:r>
      <w:r>
        <w:rPr>
          <w:rFonts w:hint="eastAsia" w:ascii="仿宋" w:hAnsi="仿宋" w:eastAsia="仿宋"/>
          <w:color w:val="auto"/>
          <w:sz w:val="32"/>
          <w:szCs w:val="32"/>
        </w:rPr>
        <w:t>；对附属单位补助支出</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0</w:t>
      </w:r>
      <w:r>
        <w:rPr>
          <w:rFonts w:ascii="仿宋" w:hAnsi="仿宋" w:eastAsia="仿宋"/>
          <w:color w:val="auto"/>
          <w:sz w:val="32"/>
          <w:szCs w:val="32"/>
        </w:rPr>
        <w:t>%</w:t>
      </w:r>
      <w:r>
        <w:rPr>
          <w:rFonts w:hint="eastAsia" w:ascii="仿宋" w:hAnsi="仿宋" w:eastAsia="仿宋"/>
          <w:color w:val="auto"/>
          <w:sz w:val="32"/>
          <w:szCs w:val="32"/>
        </w:rPr>
        <w:t>。</w:t>
      </w:r>
    </w:p>
    <w:p>
      <w:pPr>
        <w:pStyle w:val="19"/>
        <w:rPr>
          <w:rFonts w:hint="eastAsia" w:ascii="仿宋" w:hAnsi="仿宋" w:eastAsia="仿宋"/>
          <w:color w:val="auto"/>
          <w:sz w:val="32"/>
          <w:szCs w:val="32"/>
        </w:rPr>
      </w:pPr>
    </w:p>
    <w:p>
      <w:pPr>
        <w:pStyle w:val="19"/>
        <w:rPr>
          <w:rFonts w:hint="eastAsia" w:ascii="仿宋" w:hAnsi="仿宋" w:eastAsia="仿宋"/>
          <w:color w:val="auto"/>
          <w:sz w:val="32"/>
          <w:szCs w:val="32"/>
        </w:rPr>
      </w:pPr>
    </w:p>
    <w:p>
      <w:pPr>
        <w:spacing w:line="600" w:lineRule="exact"/>
        <w:ind w:firstLine="640" w:firstLineChars="200"/>
        <w:jc w:val="center"/>
        <w:rPr>
          <w:rFonts w:hint="default" w:ascii="仿宋_GB2312" w:eastAsia="仿宋"/>
          <w:color w:val="auto"/>
          <w:sz w:val="32"/>
          <w:szCs w:val="32"/>
          <w:lang w:val="en-US" w:eastAsia="zh-CN"/>
        </w:rPr>
      </w:pPr>
      <w:r>
        <w:rPr>
          <w:rFonts w:hint="eastAsia" w:ascii="仿宋" w:hAnsi="仿宋" w:eastAsia="仿宋"/>
          <w:color w:val="auto"/>
          <w:sz w:val="32"/>
          <w:szCs w:val="32"/>
        </w:rPr>
        <w:t>（图3：支出决算结构图）</w:t>
      </w:r>
      <w:r>
        <w:rPr>
          <w:rFonts w:hint="eastAsia" w:ascii="仿宋" w:hAnsi="仿宋" w:eastAsia="仿宋"/>
          <w:color w:val="auto"/>
          <w:sz w:val="32"/>
          <w:szCs w:val="32"/>
          <w:lang w:val="en-US" w:eastAsia="zh-CN"/>
        </w:rPr>
        <w:t xml:space="preserve"> 单位：万元</w:t>
      </w:r>
    </w:p>
    <w:p>
      <w:pPr>
        <w:pStyle w:val="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drawing>
          <wp:inline distT="0" distB="0" distL="114300" distR="114300">
            <wp:extent cx="4613910" cy="3144520"/>
            <wp:effectExtent l="4445" t="4445" r="10795" b="13335"/>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0" w:firstLineChars="200"/>
        <w:outlineLvl w:val="1"/>
        <w:rPr>
          <w:rStyle w:val="29"/>
          <w:rFonts w:ascii="黑体" w:hAnsi="黑体" w:eastAsia="黑体"/>
          <w:b w:val="0"/>
          <w:color w:val="auto"/>
        </w:rPr>
      </w:pPr>
      <w:bookmarkStart w:id="30" w:name="_Toc24706"/>
      <w:bookmarkStart w:id="31" w:name="_Toc15396606"/>
      <w:bookmarkStart w:id="32" w:name="_Toc15377208"/>
      <w:r>
        <w:rPr>
          <w:rFonts w:hint="eastAsia" w:ascii="黑体" w:hAnsi="黑体" w:eastAsia="黑体"/>
          <w:color w:val="auto"/>
          <w:sz w:val="32"/>
          <w:szCs w:val="32"/>
        </w:rPr>
        <w:t>四、财</w:t>
      </w:r>
      <w:r>
        <w:rPr>
          <w:rStyle w:val="29"/>
          <w:rFonts w:hint="eastAsia" w:ascii="黑体" w:hAnsi="黑体" w:eastAsia="黑体"/>
          <w:b w:val="0"/>
          <w:color w:val="auto"/>
        </w:rPr>
        <w:t>政拨款收入支出决算总体情况说明</w:t>
      </w:r>
      <w:bookmarkEnd w:id="30"/>
      <w:bookmarkEnd w:id="31"/>
      <w:bookmarkEnd w:id="32"/>
    </w:p>
    <w:p>
      <w:pPr>
        <w:spacing w:line="600" w:lineRule="exact"/>
        <w:ind w:firstLine="640"/>
        <w:outlineLvl w:val="9"/>
        <w:rPr>
          <w:rFonts w:ascii="仿宋" w:hAnsi="仿宋" w:eastAsia="仿宋"/>
          <w:color w:val="auto"/>
          <w:sz w:val="32"/>
          <w:szCs w:val="32"/>
        </w:rPr>
      </w:pPr>
      <w:r>
        <w:rPr>
          <w:rFonts w:ascii="仿宋" w:hAnsi="仿宋" w:eastAsia="仿宋"/>
          <w:color w:val="auto"/>
          <w:sz w:val="32"/>
          <w:szCs w:val="32"/>
        </w:rPr>
        <w:t>20</w:t>
      </w:r>
      <w:r>
        <w:rPr>
          <w:rFonts w:hint="eastAsia" w:ascii="仿宋" w:hAnsi="仿宋" w:eastAsia="仿宋"/>
          <w:color w:val="auto"/>
          <w:sz w:val="32"/>
          <w:szCs w:val="32"/>
          <w:lang w:val="en-US" w:eastAsia="zh-CN"/>
        </w:rPr>
        <w:t>20</w:t>
      </w:r>
      <w:r>
        <w:rPr>
          <w:rFonts w:hint="eastAsia" w:ascii="仿宋" w:hAnsi="仿宋" w:eastAsia="仿宋"/>
          <w:color w:val="auto"/>
          <w:sz w:val="32"/>
          <w:szCs w:val="32"/>
        </w:rPr>
        <w:t>年财政拨款收、支总计</w:t>
      </w:r>
      <w:r>
        <w:rPr>
          <w:rFonts w:hint="eastAsia" w:ascii="仿宋" w:hAnsi="仿宋" w:eastAsia="仿宋"/>
          <w:color w:val="auto"/>
          <w:sz w:val="32"/>
          <w:szCs w:val="32"/>
          <w:lang w:val="en-US" w:eastAsia="zh-CN"/>
        </w:rPr>
        <w:t>736.54</w:t>
      </w:r>
      <w:r>
        <w:rPr>
          <w:rFonts w:hint="eastAsia" w:ascii="仿宋" w:hAnsi="仿宋" w:eastAsia="仿宋"/>
          <w:color w:val="auto"/>
          <w:sz w:val="32"/>
          <w:szCs w:val="32"/>
        </w:rPr>
        <w:t>万元。与</w:t>
      </w:r>
      <w:r>
        <w:rPr>
          <w:rFonts w:ascii="仿宋" w:hAnsi="仿宋" w:eastAsia="仿宋"/>
          <w:color w:val="auto"/>
          <w:sz w:val="32"/>
          <w:szCs w:val="32"/>
        </w:rPr>
        <w:t>201</w:t>
      </w:r>
      <w:r>
        <w:rPr>
          <w:rFonts w:hint="eastAsia" w:ascii="仿宋" w:hAnsi="仿宋" w:eastAsia="仿宋"/>
          <w:color w:val="auto"/>
          <w:sz w:val="32"/>
          <w:szCs w:val="32"/>
          <w:lang w:val="en-US" w:eastAsia="zh-CN"/>
        </w:rPr>
        <w:t>9</w:t>
      </w:r>
      <w:r>
        <w:rPr>
          <w:rFonts w:hint="eastAsia" w:ascii="仿宋" w:hAnsi="仿宋" w:eastAsia="仿宋"/>
          <w:color w:val="auto"/>
          <w:sz w:val="32"/>
          <w:szCs w:val="32"/>
        </w:rPr>
        <w:t>年相比，财政拨款收、支总计各增加</w:t>
      </w:r>
      <w:r>
        <w:rPr>
          <w:rFonts w:hint="eastAsia" w:ascii="仿宋" w:hAnsi="仿宋" w:eastAsia="仿宋"/>
          <w:color w:val="auto"/>
          <w:sz w:val="32"/>
          <w:szCs w:val="32"/>
          <w:lang w:val="en-US" w:eastAsia="zh-CN"/>
        </w:rPr>
        <w:t>111.19</w:t>
      </w:r>
      <w:r>
        <w:rPr>
          <w:rFonts w:hint="eastAsia" w:ascii="仿宋" w:hAnsi="仿宋" w:eastAsia="仿宋"/>
          <w:color w:val="auto"/>
          <w:sz w:val="32"/>
          <w:szCs w:val="32"/>
        </w:rPr>
        <w:t>万元，增长</w:t>
      </w:r>
      <w:r>
        <w:rPr>
          <w:rFonts w:hint="eastAsia" w:ascii="仿宋" w:hAnsi="仿宋" w:eastAsia="仿宋"/>
          <w:color w:val="auto"/>
          <w:sz w:val="32"/>
          <w:szCs w:val="32"/>
          <w:lang w:val="en-US" w:eastAsia="zh-CN"/>
        </w:rPr>
        <w:t>17.78</w:t>
      </w:r>
      <w:r>
        <w:rPr>
          <w:rFonts w:ascii="仿宋" w:hAnsi="仿宋" w:eastAsia="仿宋"/>
          <w:color w:val="auto"/>
          <w:sz w:val="32"/>
          <w:szCs w:val="32"/>
        </w:rPr>
        <w:t>%</w:t>
      </w:r>
      <w:r>
        <w:rPr>
          <w:rFonts w:hint="eastAsia" w:ascii="仿宋" w:hAnsi="仿宋" w:eastAsia="仿宋"/>
          <w:color w:val="auto"/>
          <w:sz w:val="32"/>
          <w:szCs w:val="32"/>
        </w:rPr>
        <w:t>。主要变动原因</w:t>
      </w:r>
      <w:r>
        <w:rPr>
          <w:rFonts w:hint="eastAsia" w:ascii="仿宋" w:hAnsi="仿宋" w:eastAsia="仿宋"/>
          <w:color w:val="auto"/>
          <w:sz w:val="32"/>
          <w:szCs w:val="32"/>
          <w:lang w:val="en-US" w:eastAsia="zh-CN"/>
        </w:rPr>
        <w:t>是教育支出和住房保障支出的增加。</w:t>
      </w:r>
    </w:p>
    <w:p>
      <w:pPr>
        <w:spacing w:line="600" w:lineRule="exact"/>
        <w:rPr>
          <w:rFonts w:hint="eastAsia" w:ascii="仿宋" w:hAnsi="仿宋" w:eastAsia="仿宋"/>
          <w:color w:val="auto"/>
          <w:sz w:val="30"/>
          <w:szCs w:val="30"/>
          <w:lang w:val="en-US" w:eastAsia="zh-CN"/>
        </w:rPr>
      </w:pPr>
      <w:r>
        <w:rPr>
          <w:rFonts w:hint="eastAsia" w:ascii="仿宋" w:hAnsi="仿宋" w:eastAsia="仿宋"/>
          <w:color w:val="auto"/>
          <w:sz w:val="32"/>
          <w:szCs w:val="32"/>
        </w:rPr>
        <w:t>（图4：财政拨款收、支决算总计变动情况）</w:t>
      </w:r>
      <w:r>
        <w:rPr>
          <w:rFonts w:hint="eastAsia" w:ascii="仿宋" w:hAnsi="仿宋" w:eastAsia="仿宋"/>
          <w:color w:val="auto"/>
          <w:sz w:val="32"/>
          <w:szCs w:val="32"/>
          <w:lang w:val="en-US" w:eastAsia="zh-CN"/>
        </w:rPr>
        <w:t>单位：万元</w:t>
      </w:r>
    </w:p>
    <w:p>
      <w:pPr>
        <w:ind w:left="420" w:hanging="420" w:hangingChars="200"/>
        <w:jc w:val="center"/>
        <w:rPr>
          <w:rFonts w:hint="eastAsia" w:eastAsiaTheme="minorEastAsia"/>
          <w:lang w:eastAsia="zh-CN"/>
        </w:rPr>
      </w:pPr>
      <w:r>
        <w:rPr>
          <w:rFonts w:hint="eastAsia" w:eastAsiaTheme="minorEastAsia"/>
          <w:lang w:eastAsia="zh-CN"/>
        </w:rPr>
        <w:drawing>
          <wp:inline distT="0" distB="0" distL="114300" distR="114300">
            <wp:extent cx="4661535" cy="3049905"/>
            <wp:effectExtent l="4445" t="4445" r="20320" b="12700"/>
            <wp:docPr id="18"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bookmarkStart w:id="33" w:name="_Toc15396607"/>
      <w:bookmarkStart w:id="34" w:name="_Toc15377209"/>
    </w:p>
    <w:p>
      <w:pPr>
        <w:ind w:left="638" w:leftChars="304" w:firstLine="320" w:firstLineChars="100"/>
        <w:outlineLvl w:val="1"/>
        <w:rPr>
          <w:rStyle w:val="29"/>
          <w:rFonts w:ascii="黑体" w:hAnsi="黑体" w:eastAsia="黑体"/>
          <w:b w:val="0"/>
          <w:color w:val="auto"/>
        </w:rPr>
      </w:pPr>
      <w:bookmarkStart w:id="35" w:name="_Toc24382"/>
      <w:r>
        <w:rPr>
          <w:rFonts w:hint="eastAsia" w:ascii="黑体" w:hAnsi="黑体" w:eastAsia="黑体"/>
          <w:color w:val="auto"/>
          <w:sz w:val="32"/>
          <w:szCs w:val="32"/>
        </w:rPr>
        <w:t>五、</w:t>
      </w:r>
      <w:r>
        <w:rPr>
          <w:rFonts w:hint="eastAsia" w:ascii="黑体" w:hAnsi="黑体" w:eastAsia="黑体"/>
          <w:b/>
          <w:color w:val="auto"/>
          <w:sz w:val="32"/>
          <w:szCs w:val="32"/>
        </w:rPr>
        <w:t>一</w:t>
      </w:r>
      <w:r>
        <w:rPr>
          <w:rStyle w:val="29"/>
          <w:rFonts w:hint="eastAsia" w:ascii="黑体" w:hAnsi="黑体" w:eastAsia="黑体"/>
          <w:b w:val="0"/>
          <w:color w:val="auto"/>
        </w:rPr>
        <w:t>般公共预算财政拨款支出决算情况说明</w:t>
      </w:r>
      <w:bookmarkEnd w:id="33"/>
      <w:bookmarkEnd w:id="34"/>
      <w:bookmarkEnd w:id="35"/>
    </w:p>
    <w:p>
      <w:pPr>
        <w:spacing w:line="600" w:lineRule="exact"/>
        <w:ind w:firstLine="643" w:firstLineChars="200"/>
        <w:outlineLvl w:val="2"/>
        <w:rPr>
          <w:rFonts w:ascii="仿宋" w:hAnsi="仿宋" w:eastAsia="仿宋"/>
          <w:b/>
          <w:color w:val="auto"/>
          <w:sz w:val="32"/>
          <w:szCs w:val="32"/>
        </w:rPr>
      </w:pPr>
      <w:bookmarkStart w:id="36" w:name="_Toc8136"/>
      <w:bookmarkStart w:id="37" w:name="_Toc15377210"/>
      <w:bookmarkStart w:id="38" w:name="_Toc21794"/>
      <w:r>
        <w:rPr>
          <w:rFonts w:hint="eastAsia" w:ascii="仿宋" w:hAnsi="仿宋" w:eastAsia="仿宋"/>
          <w:b/>
          <w:color w:val="auto"/>
          <w:sz w:val="32"/>
          <w:szCs w:val="32"/>
        </w:rPr>
        <w:t>（一）一般公共预算财政拨款支出决算总体情况</w:t>
      </w:r>
      <w:bookmarkEnd w:id="36"/>
      <w:bookmarkEnd w:id="37"/>
      <w:bookmarkEnd w:id="38"/>
    </w:p>
    <w:p>
      <w:pPr>
        <w:spacing w:line="600" w:lineRule="exact"/>
        <w:ind w:firstLine="640" w:firstLineChars="200"/>
        <w:outlineLvl w:val="9"/>
        <w:rPr>
          <w:rFonts w:hint="eastAsia" w:ascii="仿宋" w:hAnsi="仿宋" w:eastAsia="仿宋"/>
          <w:color w:val="auto"/>
          <w:sz w:val="32"/>
          <w:szCs w:val="32"/>
          <w:lang w:val="en-US" w:eastAsia="zh-CN"/>
        </w:rPr>
      </w:pPr>
      <w:r>
        <w:rPr>
          <w:rFonts w:ascii="仿宋" w:hAnsi="仿宋" w:eastAsia="仿宋"/>
          <w:color w:val="auto"/>
          <w:sz w:val="32"/>
          <w:szCs w:val="32"/>
        </w:rPr>
        <w:t>20</w:t>
      </w:r>
      <w:r>
        <w:rPr>
          <w:rFonts w:hint="eastAsia" w:ascii="仿宋" w:hAnsi="仿宋" w:eastAsia="仿宋"/>
          <w:color w:val="auto"/>
          <w:sz w:val="32"/>
          <w:szCs w:val="32"/>
          <w:lang w:val="en-US" w:eastAsia="zh-CN"/>
        </w:rPr>
        <w:t>20</w:t>
      </w:r>
      <w:r>
        <w:rPr>
          <w:rFonts w:hint="eastAsia" w:ascii="仿宋" w:hAnsi="仿宋" w:eastAsia="仿宋"/>
          <w:color w:val="auto"/>
          <w:sz w:val="32"/>
          <w:szCs w:val="32"/>
        </w:rPr>
        <w:t>年一般公共预算财政拨款支出</w:t>
      </w:r>
      <w:r>
        <w:rPr>
          <w:rFonts w:hint="eastAsia" w:ascii="仿宋" w:hAnsi="仿宋" w:eastAsia="仿宋"/>
          <w:color w:val="auto"/>
          <w:sz w:val="32"/>
          <w:szCs w:val="32"/>
          <w:lang w:val="en-US" w:eastAsia="zh-CN"/>
        </w:rPr>
        <w:t>736.54</w:t>
      </w:r>
      <w:r>
        <w:rPr>
          <w:rFonts w:hint="eastAsia" w:ascii="仿宋" w:hAnsi="仿宋" w:eastAsia="仿宋"/>
          <w:color w:val="auto"/>
          <w:sz w:val="32"/>
          <w:szCs w:val="32"/>
        </w:rPr>
        <w:t>万元，占本年支出合计的</w:t>
      </w:r>
      <w:r>
        <w:rPr>
          <w:rFonts w:hint="eastAsia" w:ascii="仿宋" w:hAnsi="仿宋" w:eastAsia="仿宋"/>
          <w:color w:val="auto"/>
          <w:sz w:val="32"/>
          <w:szCs w:val="32"/>
          <w:lang w:val="en-US" w:eastAsia="zh-CN"/>
        </w:rPr>
        <w:t>57.66</w:t>
      </w:r>
      <w:r>
        <w:rPr>
          <w:rFonts w:ascii="仿宋" w:hAnsi="仿宋" w:eastAsia="仿宋"/>
          <w:color w:val="auto"/>
          <w:sz w:val="32"/>
          <w:szCs w:val="32"/>
        </w:rPr>
        <w:t>%</w:t>
      </w:r>
      <w:r>
        <w:rPr>
          <w:rFonts w:hint="eastAsia" w:ascii="仿宋" w:hAnsi="仿宋" w:eastAsia="仿宋"/>
          <w:color w:val="auto"/>
          <w:sz w:val="32"/>
          <w:szCs w:val="32"/>
        </w:rPr>
        <w:t>。与</w:t>
      </w:r>
      <w:r>
        <w:rPr>
          <w:rFonts w:ascii="仿宋" w:hAnsi="仿宋" w:eastAsia="仿宋"/>
          <w:color w:val="auto"/>
          <w:sz w:val="32"/>
          <w:szCs w:val="32"/>
        </w:rPr>
        <w:t>201</w:t>
      </w:r>
      <w:r>
        <w:rPr>
          <w:rFonts w:hint="eastAsia" w:ascii="仿宋" w:hAnsi="仿宋" w:eastAsia="仿宋"/>
          <w:color w:val="auto"/>
          <w:sz w:val="32"/>
          <w:szCs w:val="32"/>
          <w:lang w:val="en-US" w:eastAsia="zh-CN"/>
        </w:rPr>
        <w:t>9</w:t>
      </w:r>
      <w:r>
        <w:rPr>
          <w:rFonts w:hint="eastAsia" w:ascii="仿宋" w:hAnsi="仿宋" w:eastAsia="仿宋"/>
          <w:color w:val="auto"/>
          <w:sz w:val="32"/>
          <w:szCs w:val="32"/>
        </w:rPr>
        <w:t>年相比，一般公共预算财政拨款增加</w:t>
      </w:r>
      <w:r>
        <w:rPr>
          <w:rFonts w:hint="eastAsia" w:ascii="仿宋" w:hAnsi="仿宋" w:eastAsia="仿宋"/>
          <w:color w:val="auto"/>
          <w:sz w:val="32"/>
          <w:szCs w:val="32"/>
          <w:lang w:val="en-US" w:eastAsia="zh-CN"/>
        </w:rPr>
        <w:t>111.19</w:t>
      </w:r>
      <w:r>
        <w:rPr>
          <w:rFonts w:hint="eastAsia" w:ascii="仿宋" w:hAnsi="仿宋" w:eastAsia="仿宋"/>
          <w:color w:val="auto"/>
          <w:sz w:val="32"/>
          <w:szCs w:val="32"/>
        </w:rPr>
        <w:t>万元，增长</w:t>
      </w:r>
      <w:r>
        <w:rPr>
          <w:rFonts w:hint="eastAsia" w:ascii="仿宋" w:hAnsi="仿宋" w:eastAsia="仿宋"/>
          <w:color w:val="auto"/>
          <w:sz w:val="32"/>
          <w:szCs w:val="32"/>
          <w:lang w:val="en-US" w:eastAsia="zh-CN"/>
        </w:rPr>
        <w:t>17.78</w:t>
      </w:r>
      <w:r>
        <w:rPr>
          <w:rFonts w:ascii="仿宋" w:hAnsi="仿宋" w:eastAsia="仿宋"/>
          <w:color w:val="auto"/>
          <w:sz w:val="32"/>
          <w:szCs w:val="32"/>
        </w:rPr>
        <w:t>%</w:t>
      </w:r>
      <w:r>
        <w:rPr>
          <w:rFonts w:hint="eastAsia" w:ascii="仿宋" w:hAnsi="仿宋" w:eastAsia="仿宋"/>
          <w:color w:val="auto"/>
          <w:sz w:val="32"/>
          <w:szCs w:val="32"/>
        </w:rPr>
        <w:t>。主要变动原因</w:t>
      </w:r>
      <w:r>
        <w:rPr>
          <w:rFonts w:hint="eastAsia" w:ascii="仿宋" w:hAnsi="仿宋" w:eastAsia="仿宋"/>
          <w:color w:val="auto"/>
          <w:sz w:val="32"/>
          <w:szCs w:val="32"/>
          <w:lang w:val="en-US" w:eastAsia="zh-CN"/>
        </w:rPr>
        <w:t>是教育支出和住房保障支出的增加。</w:t>
      </w:r>
    </w:p>
    <w:p>
      <w:pPr>
        <w:spacing w:line="600" w:lineRule="exact"/>
        <w:outlineLvl w:val="9"/>
        <w:rPr>
          <w:rFonts w:hint="eastAsia" w:ascii="仿宋" w:hAnsi="仿宋" w:eastAsia="仿宋"/>
          <w:color w:val="auto"/>
          <w:sz w:val="32"/>
          <w:szCs w:val="32"/>
          <w:lang w:val="en-US" w:eastAsia="zh-CN"/>
        </w:rPr>
      </w:pPr>
      <w:r>
        <w:rPr>
          <w:rFonts w:hint="eastAsia" w:ascii="仿宋" w:hAnsi="仿宋" w:eastAsia="仿宋"/>
          <w:color w:val="auto"/>
          <w:sz w:val="30"/>
          <w:szCs w:val="30"/>
        </w:rPr>
        <w:t>（图5：一般公共预算财政拨款支出决算变动情况）</w:t>
      </w:r>
      <w:r>
        <w:rPr>
          <w:rFonts w:hint="eastAsia" w:ascii="仿宋" w:hAnsi="仿宋" w:eastAsia="仿宋"/>
          <w:color w:val="auto"/>
          <w:sz w:val="30"/>
          <w:szCs w:val="30"/>
          <w:lang w:val="en-US" w:eastAsia="zh-CN"/>
        </w:rPr>
        <w:t>单位：万元</w:t>
      </w:r>
    </w:p>
    <w:p>
      <w:pPr>
        <w:spacing w:line="600" w:lineRule="exact"/>
        <w:ind w:firstLine="643" w:firstLineChars="200"/>
        <w:outlineLvl w:val="2"/>
        <w:rPr>
          <w:rFonts w:ascii="仿宋" w:hAnsi="仿宋" w:eastAsia="仿宋"/>
          <w:b/>
          <w:color w:val="auto"/>
          <w:sz w:val="32"/>
          <w:szCs w:val="32"/>
        </w:rPr>
      </w:pPr>
      <w:bookmarkStart w:id="39" w:name="_Toc21986"/>
      <w:bookmarkStart w:id="40" w:name="_Toc11998"/>
      <w:r>
        <w:rPr>
          <w:rFonts w:hint="eastAsia" w:ascii="仿宋" w:hAnsi="仿宋" w:eastAsia="仿宋"/>
          <w:b/>
          <w:color w:val="auto"/>
          <w:sz w:val="32"/>
          <w:szCs w:val="32"/>
          <w:lang w:val="en-US" w:eastAsia="zh-CN"/>
        </w:rPr>
        <w:drawing>
          <wp:anchor distT="0" distB="0" distL="114300" distR="114300" simplePos="0" relativeHeight="251659264" behindDoc="0" locked="0" layoutInCell="1" allowOverlap="1">
            <wp:simplePos x="0" y="0"/>
            <wp:positionH relativeFrom="column">
              <wp:posOffset>191770</wp:posOffset>
            </wp:positionH>
            <wp:positionV relativeFrom="paragraph">
              <wp:posOffset>198120</wp:posOffset>
            </wp:positionV>
            <wp:extent cx="5080000" cy="3810000"/>
            <wp:effectExtent l="4445" t="4445" r="20955" b="14605"/>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bookmarkStart w:id="41" w:name="_Toc15377211"/>
      <w:r>
        <w:rPr>
          <w:rFonts w:hint="eastAsia" w:ascii="仿宋" w:hAnsi="仿宋" w:eastAsia="仿宋"/>
          <w:b/>
          <w:color w:val="auto"/>
          <w:sz w:val="32"/>
          <w:szCs w:val="32"/>
        </w:rPr>
        <w:t>（二）一般公共预算财政拨款支出决算结构情况</w:t>
      </w:r>
      <w:bookmarkEnd w:id="39"/>
      <w:bookmarkEnd w:id="40"/>
      <w:bookmarkEnd w:id="41"/>
    </w:p>
    <w:p>
      <w:pPr>
        <w:spacing w:line="600" w:lineRule="exact"/>
        <w:ind w:firstLine="640"/>
        <w:outlineLvl w:val="9"/>
        <w:rPr>
          <w:rFonts w:hint="eastAsia" w:ascii="仿宋" w:hAnsi="仿宋" w:eastAsia="仿宋"/>
          <w:b/>
          <w:color w:val="auto"/>
          <w:sz w:val="32"/>
          <w:szCs w:val="32"/>
        </w:rPr>
      </w:pPr>
      <w:r>
        <w:rPr>
          <w:rFonts w:ascii="仿宋" w:hAnsi="仿宋" w:eastAsia="仿宋"/>
          <w:color w:val="auto"/>
          <w:sz w:val="32"/>
          <w:szCs w:val="32"/>
        </w:rPr>
        <w:t>20</w:t>
      </w:r>
      <w:r>
        <w:rPr>
          <w:rFonts w:hint="eastAsia" w:ascii="仿宋" w:hAnsi="仿宋" w:eastAsia="仿宋"/>
          <w:color w:val="auto"/>
          <w:sz w:val="32"/>
          <w:szCs w:val="32"/>
          <w:lang w:val="en-US" w:eastAsia="zh-CN"/>
        </w:rPr>
        <w:t>20</w:t>
      </w:r>
      <w:r>
        <w:rPr>
          <w:rFonts w:hint="eastAsia" w:ascii="仿宋" w:hAnsi="仿宋" w:eastAsia="仿宋"/>
          <w:color w:val="auto"/>
          <w:sz w:val="32"/>
          <w:szCs w:val="32"/>
        </w:rPr>
        <w:t>年一般公共预算财政拨款支出</w:t>
      </w:r>
      <w:r>
        <w:rPr>
          <w:rFonts w:hint="eastAsia" w:ascii="仿宋" w:hAnsi="仿宋" w:eastAsia="仿宋"/>
          <w:color w:val="auto"/>
          <w:sz w:val="32"/>
          <w:szCs w:val="32"/>
          <w:lang w:val="en-US" w:eastAsia="zh-CN"/>
        </w:rPr>
        <w:t>736.54</w:t>
      </w:r>
      <w:r>
        <w:rPr>
          <w:rFonts w:hint="eastAsia" w:ascii="仿宋" w:hAnsi="仿宋" w:eastAsia="仿宋"/>
          <w:color w:val="auto"/>
          <w:sz w:val="32"/>
          <w:szCs w:val="32"/>
        </w:rPr>
        <w:t>万元，主要用于以下方面</w:t>
      </w:r>
      <w:r>
        <w:rPr>
          <w:rFonts w:ascii="仿宋" w:hAnsi="仿宋" w:eastAsia="仿宋"/>
          <w:color w:val="auto"/>
          <w:sz w:val="32"/>
          <w:szCs w:val="32"/>
        </w:rPr>
        <w:t>:</w:t>
      </w:r>
      <w:r>
        <w:rPr>
          <w:rFonts w:hint="eastAsia" w:ascii="仿宋" w:hAnsi="仿宋" w:eastAsia="仿宋"/>
          <w:b/>
          <w:color w:val="auto"/>
          <w:sz w:val="32"/>
          <w:szCs w:val="32"/>
        </w:rPr>
        <w:t>一般公共服务（类）</w:t>
      </w:r>
      <w:r>
        <w:rPr>
          <w:rFonts w:hint="eastAsia" w:ascii="仿宋" w:hAnsi="仿宋" w:eastAsia="仿宋"/>
          <w:color w:val="auto"/>
          <w:sz w:val="32"/>
          <w:szCs w:val="32"/>
        </w:rPr>
        <w:t>支出</w:t>
      </w:r>
      <w:r>
        <w:rPr>
          <w:rFonts w:hint="eastAsia" w:ascii="仿宋" w:hAnsi="仿宋" w:eastAsia="仿宋"/>
          <w:color w:val="auto"/>
          <w:sz w:val="32"/>
          <w:szCs w:val="32"/>
          <w:lang w:val="en-US" w:eastAsia="zh-CN"/>
        </w:rPr>
        <w:t>4.09</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0.56</w:t>
      </w:r>
      <w:r>
        <w:rPr>
          <w:rFonts w:ascii="仿宋" w:hAnsi="仿宋" w:eastAsia="仿宋"/>
          <w:color w:val="auto"/>
          <w:sz w:val="32"/>
          <w:szCs w:val="32"/>
        </w:rPr>
        <w:t>%</w:t>
      </w:r>
      <w:r>
        <w:rPr>
          <w:rFonts w:hint="eastAsia" w:ascii="仿宋" w:hAnsi="仿宋" w:eastAsia="仿宋"/>
          <w:color w:val="auto"/>
          <w:sz w:val="32"/>
          <w:szCs w:val="32"/>
        </w:rPr>
        <w:t>；</w:t>
      </w:r>
      <w:r>
        <w:rPr>
          <w:rFonts w:hint="eastAsia" w:ascii="仿宋" w:hAnsi="仿宋" w:eastAsia="仿宋"/>
          <w:b/>
          <w:color w:val="auto"/>
          <w:sz w:val="32"/>
          <w:szCs w:val="32"/>
        </w:rPr>
        <w:t>教育支出（类）</w:t>
      </w:r>
      <w:r>
        <w:rPr>
          <w:rFonts w:hint="eastAsia" w:ascii="仿宋" w:hAnsi="仿宋" w:eastAsia="仿宋"/>
          <w:b w:val="0"/>
          <w:bCs/>
          <w:color w:val="auto"/>
          <w:sz w:val="32"/>
          <w:szCs w:val="32"/>
          <w:lang w:val="en-US" w:eastAsia="zh-CN"/>
        </w:rPr>
        <w:t>488.23</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66.29</w:t>
      </w:r>
      <w:r>
        <w:rPr>
          <w:rFonts w:ascii="仿宋" w:hAnsi="仿宋" w:eastAsia="仿宋"/>
          <w:color w:val="auto"/>
          <w:sz w:val="32"/>
          <w:szCs w:val="32"/>
        </w:rPr>
        <w:t>%</w:t>
      </w:r>
      <w:r>
        <w:rPr>
          <w:rFonts w:hint="eastAsia" w:ascii="仿宋" w:hAnsi="仿宋" w:eastAsia="仿宋"/>
          <w:color w:val="auto"/>
          <w:sz w:val="32"/>
          <w:szCs w:val="32"/>
        </w:rPr>
        <w:t>；</w:t>
      </w:r>
      <w:r>
        <w:rPr>
          <w:rFonts w:hint="eastAsia" w:ascii="仿宋" w:hAnsi="仿宋" w:eastAsia="仿宋"/>
          <w:b/>
          <w:color w:val="auto"/>
          <w:sz w:val="32"/>
          <w:szCs w:val="32"/>
        </w:rPr>
        <w:t>社会保障和就业（类）</w:t>
      </w:r>
      <w:r>
        <w:rPr>
          <w:rFonts w:hint="eastAsia" w:ascii="仿宋" w:hAnsi="仿宋" w:eastAsia="仿宋"/>
          <w:color w:val="auto"/>
          <w:sz w:val="32"/>
          <w:szCs w:val="32"/>
        </w:rPr>
        <w:t>支出</w:t>
      </w:r>
      <w:r>
        <w:rPr>
          <w:rFonts w:hint="eastAsia" w:ascii="仿宋" w:hAnsi="仿宋" w:eastAsia="仿宋"/>
          <w:color w:val="auto"/>
          <w:sz w:val="32"/>
          <w:szCs w:val="32"/>
          <w:lang w:val="en-US" w:eastAsia="zh-CN"/>
        </w:rPr>
        <w:t>175.69</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23.85</w:t>
      </w:r>
      <w:r>
        <w:rPr>
          <w:rFonts w:ascii="仿宋" w:hAnsi="仿宋" w:eastAsia="仿宋"/>
          <w:color w:val="auto"/>
          <w:sz w:val="32"/>
          <w:szCs w:val="32"/>
        </w:rPr>
        <w:t>%</w:t>
      </w:r>
      <w:r>
        <w:rPr>
          <w:rFonts w:hint="eastAsia" w:ascii="仿宋" w:hAnsi="仿宋" w:eastAsia="仿宋"/>
          <w:color w:val="auto"/>
          <w:sz w:val="32"/>
          <w:szCs w:val="32"/>
        </w:rPr>
        <w:t>；</w:t>
      </w:r>
      <w:r>
        <w:rPr>
          <w:rFonts w:hint="eastAsia" w:ascii="仿宋" w:hAnsi="仿宋" w:eastAsia="仿宋"/>
          <w:b/>
          <w:bCs/>
          <w:color w:val="auto"/>
          <w:sz w:val="32"/>
          <w:szCs w:val="32"/>
        </w:rPr>
        <w:t>卫生健康支出</w:t>
      </w:r>
      <w:r>
        <w:rPr>
          <w:rFonts w:hint="eastAsia" w:ascii="仿宋" w:hAnsi="仿宋" w:eastAsia="仿宋"/>
          <w:b/>
          <w:color w:val="auto"/>
          <w:sz w:val="32"/>
          <w:szCs w:val="32"/>
        </w:rPr>
        <w:t>（类）</w:t>
      </w:r>
      <w:r>
        <w:rPr>
          <w:rFonts w:hint="eastAsia" w:ascii="仿宋" w:hAnsi="仿宋" w:eastAsia="仿宋"/>
          <w:b w:val="0"/>
          <w:bCs w:val="0"/>
          <w:color w:val="auto"/>
          <w:sz w:val="32"/>
          <w:szCs w:val="32"/>
          <w:lang w:val="en-US" w:eastAsia="zh-CN"/>
        </w:rPr>
        <w:t>28.98</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3.93</w:t>
      </w:r>
      <w:r>
        <w:rPr>
          <w:rFonts w:ascii="仿宋" w:hAnsi="仿宋" w:eastAsia="仿宋"/>
          <w:color w:val="auto"/>
          <w:sz w:val="32"/>
          <w:szCs w:val="32"/>
        </w:rPr>
        <w:t>%</w:t>
      </w:r>
      <w:r>
        <w:rPr>
          <w:rFonts w:hint="eastAsia" w:ascii="仿宋" w:hAnsi="仿宋" w:eastAsia="仿宋"/>
          <w:color w:val="auto"/>
          <w:sz w:val="32"/>
          <w:szCs w:val="32"/>
        </w:rPr>
        <w:t>；</w:t>
      </w:r>
      <w:r>
        <w:rPr>
          <w:rFonts w:hint="eastAsia" w:ascii="仿宋" w:hAnsi="仿宋" w:eastAsia="仿宋"/>
          <w:b/>
          <w:bCs/>
          <w:color w:val="auto"/>
          <w:sz w:val="32"/>
          <w:szCs w:val="32"/>
        </w:rPr>
        <w:t>住房保障支出</w:t>
      </w:r>
      <w:r>
        <w:rPr>
          <w:rFonts w:hint="eastAsia" w:ascii="仿宋" w:hAnsi="仿宋" w:eastAsia="仿宋"/>
          <w:b/>
          <w:color w:val="auto"/>
          <w:sz w:val="32"/>
          <w:szCs w:val="32"/>
        </w:rPr>
        <w:t>（类）</w:t>
      </w:r>
      <w:r>
        <w:rPr>
          <w:rFonts w:hint="eastAsia" w:ascii="仿宋" w:hAnsi="仿宋" w:eastAsia="仿宋"/>
          <w:color w:val="auto"/>
          <w:sz w:val="32"/>
          <w:szCs w:val="32"/>
          <w:lang w:val="en-US" w:eastAsia="zh-CN"/>
        </w:rPr>
        <w:t>39.55</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5.37</w:t>
      </w:r>
      <w:r>
        <w:rPr>
          <w:rFonts w:ascii="仿宋" w:hAnsi="仿宋" w:eastAsia="仿宋"/>
          <w:color w:val="auto"/>
          <w:sz w:val="32"/>
          <w:szCs w:val="32"/>
        </w:rPr>
        <w:t>%</w:t>
      </w:r>
      <w:r>
        <w:rPr>
          <w:rFonts w:hint="eastAsia" w:ascii="仿宋" w:hAnsi="仿宋" w:eastAsia="仿宋"/>
          <w:color w:val="auto"/>
          <w:sz w:val="32"/>
          <w:szCs w:val="32"/>
        </w:rPr>
        <w:t>。</w:t>
      </w:r>
    </w:p>
    <w:p>
      <w:pPr>
        <w:spacing w:line="600" w:lineRule="exact"/>
        <w:outlineLvl w:val="9"/>
        <w:rPr>
          <w:rFonts w:hint="eastAsia" w:ascii="仿宋" w:hAnsi="仿宋" w:eastAsia="仿宋"/>
          <w:color w:val="auto"/>
          <w:sz w:val="32"/>
          <w:szCs w:val="32"/>
        </w:rPr>
      </w:pPr>
      <w:r>
        <w:rPr>
          <w:rFonts w:hint="eastAsia" w:ascii="仿宋" w:hAnsi="仿宋" w:eastAsia="仿宋"/>
          <w:color w:val="auto"/>
          <w:sz w:val="32"/>
          <w:szCs w:val="32"/>
        </w:rPr>
        <w:t>（图6：一般公共预算财政拨款支出决算结构）</w:t>
      </w:r>
      <w:r>
        <w:rPr>
          <w:rFonts w:hint="eastAsia" w:ascii="仿宋" w:hAnsi="仿宋" w:eastAsia="仿宋"/>
          <w:color w:val="auto"/>
          <w:sz w:val="32"/>
          <w:szCs w:val="32"/>
          <w:lang w:val="en-US" w:eastAsia="zh-CN"/>
        </w:rPr>
        <w:t>单位：万元</w:t>
      </w:r>
    </w:p>
    <w:p>
      <w:pPr>
        <w:pStyle w:val="2"/>
      </w:pPr>
      <w:r>
        <w:rPr>
          <w:rFonts w:hint="eastAsia" w:ascii="仿宋" w:hAnsi="仿宋" w:eastAsia="仿宋"/>
          <w:color w:val="auto"/>
          <w:sz w:val="32"/>
          <w:szCs w:val="32"/>
          <w:lang w:eastAsia="zh-CN"/>
        </w:rPr>
        <w:drawing>
          <wp:inline distT="0" distB="0" distL="114300" distR="114300">
            <wp:extent cx="5080000" cy="3810000"/>
            <wp:effectExtent l="4445" t="4445" r="20955" b="14605"/>
            <wp:docPr id="16"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line="600" w:lineRule="exact"/>
        <w:ind w:firstLine="643" w:firstLineChars="200"/>
        <w:outlineLvl w:val="2"/>
        <w:rPr>
          <w:rFonts w:ascii="仿宋" w:hAnsi="仿宋" w:eastAsia="仿宋"/>
          <w:b/>
          <w:color w:val="auto"/>
          <w:sz w:val="32"/>
          <w:szCs w:val="32"/>
          <w:highlight w:val="none"/>
        </w:rPr>
      </w:pPr>
      <w:bookmarkStart w:id="42" w:name="_Toc25926"/>
      <w:bookmarkStart w:id="43" w:name="_Toc31335"/>
      <w:bookmarkStart w:id="44" w:name="_Toc15377212"/>
      <w:r>
        <w:rPr>
          <w:rFonts w:hint="eastAsia" w:ascii="仿宋" w:hAnsi="仿宋" w:eastAsia="仿宋"/>
          <w:b/>
          <w:color w:val="auto"/>
          <w:sz w:val="32"/>
          <w:szCs w:val="32"/>
          <w:highlight w:val="none"/>
        </w:rPr>
        <w:t>（三）一般公共预算财政拨款支出决算具体情况</w:t>
      </w:r>
      <w:bookmarkEnd w:id="42"/>
      <w:bookmarkEnd w:id="43"/>
      <w:bookmarkEnd w:id="44"/>
    </w:p>
    <w:p>
      <w:pPr>
        <w:spacing w:line="600" w:lineRule="exact"/>
        <w:ind w:firstLine="640" w:firstLineChars="200"/>
        <w:outlineLvl w:val="9"/>
        <w:rPr>
          <w:rFonts w:ascii="仿宋" w:hAnsi="仿宋" w:eastAsia="仿宋"/>
          <w:b w:val="0"/>
          <w:bCs/>
          <w:color w:val="auto"/>
          <w:sz w:val="32"/>
          <w:szCs w:val="32"/>
          <w:highlight w:val="none"/>
        </w:rPr>
      </w:pPr>
      <w:bookmarkStart w:id="45" w:name="_Toc15377444"/>
      <w:bookmarkStart w:id="46" w:name="_Toc15378460"/>
      <w:bookmarkStart w:id="47" w:name="_Toc15377213"/>
      <w:r>
        <w:rPr>
          <w:rFonts w:hint="eastAsia" w:ascii="仿宋" w:hAnsi="仿宋" w:eastAsia="仿宋"/>
          <w:b w:val="0"/>
          <w:bCs/>
          <w:color w:val="auto"/>
          <w:sz w:val="32"/>
          <w:szCs w:val="32"/>
        </w:rPr>
        <w:t>20</w:t>
      </w:r>
      <w:r>
        <w:rPr>
          <w:rFonts w:hint="eastAsia" w:ascii="仿宋" w:hAnsi="仿宋" w:eastAsia="仿宋"/>
          <w:b w:val="0"/>
          <w:bCs/>
          <w:color w:val="auto"/>
          <w:sz w:val="32"/>
          <w:szCs w:val="32"/>
          <w:lang w:val="en-US" w:eastAsia="zh-CN"/>
        </w:rPr>
        <w:t>20</w:t>
      </w:r>
      <w:r>
        <w:rPr>
          <w:rFonts w:hint="eastAsia" w:ascii="仿宋" w:hAnsi="仿宋" w:eastAsia="仿宋"/>
          <w:b w:val="0"/>
          <w:bCs/>
          <w:color w:val="auto"/>
          <w:sz w:val="32"/>
          <w:szCs w:val="32"/>
        </w:rPr>
        <w:t>年</w:t>
      </w:r>
      <w:r>
        <w:rPr>
          <w:rFonts w:hint="eastAsia" w:ascii="仿宋" w:hAnsi="仿宋" w:eastAsia="仿宋"/>
          <w:b w:val="0"/>
          <w:bCs/>
          <w:color w:val="auto"/>
          <w:sz w:val="32"/>
          <w:szCs w:val="32"/>
          <w:lang w:eastAsia="zh-CN"/>
        </w:rPr>
        <w:t>一</w:t>
      </w:r>
      <w:r>
        <w:rPr>
          <w:rFonts w:hint="eastAsia" w:ascii="仿宋" w:hAnsi="仿宋" w:eastAsia="仿宋"/>
          <w:b w:val="0"/>
          <w:bCs/>
          <w:color w:val="auto"/>
          <w:sz w:val="32"/>
          <w:szCs w:val="32"/>
        </w:rPr>
        <w:t>般公共预算支出决算数为</w:t>
      </w:r>
      <w:r>
        <w:rPr>
          <w:rFonts w:hint="eastAsia" w:ascii="仿宋" w:hAnsi="仿宋" w:eastAsia="仿宋"/>
          <w:b w:val="0"/>
          <w:bCs/>
          <w:color w:val="auto"/>
          <w:sz w:val="32"/>
          <w:szCs w:val="32"/>
          <w:highlight w:val="none"/>
          <w:lang w:val="en-US" w:eastAsia="zh-CN"/>
        </w:rPr>
        <w:t>736.54</w:t>
      </w:r>
      <w:r>
        <w:rPr>
          <w:rFonts w:hint="eastAsia"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完成预</w:t>
      </w:r>
      <w:r>
        <w:rPr>
          <w:rStyle w:val="15"/>
          <w:rFonts w:hint="eastAsia" w:ascii="仿宋" w:hAnsi="仿宋" w:eastAsia="仿宋"/>
          <w:b w:val="0"/>
          <w:bCs/>
          <w:color w:val="auto"/>
          <w:sz w:val="32"/>
          <w:szCs w:val="32"/>
          <w:highlight w:val="none"/>
          <w:lang w:val="en-US" w:eastAsia="zh-CN"/>
        </w:rPr>
        <w:t>算99.90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。其中：</w:t>
      </w:r>
      <w:bookmarkEnd w:id="45"/>
      <w:bookmarkEnd w:id="46"/>
      <w:bookmarkEnd w:id="47"/>
    </w:p>
    <w:p>
      <w:pPr>
        <w:spacing w:line="600" w:lineRule="exact"/>
        <w:ind w:firstLine="640" w:firstLineChars="200"/>
        <w:outlineLvl w:val="9"/>
        <w:rPr>
          <w:rFonts w:ascii="仿宋" w:hAnsi="仿宋" w:eastAsia="仿宋"/>
          <w:b w:val="0"/>
          <w:bCs/>
          <w:color w:val="auto"/>
          <w:sz w:val="32"/>
          <w:szCs w:val="32"/>
        </w:rPr>
      </w:pPr>
      <w:r>
        <w:rPr>
          <w:rStyle w:val="15"/>
          <w:rFonts w:ascii="仿宋" w:hAnsi="仿宋" w:eastAsia="仿宋"/>
          <w:b w:val="0"/>
          <w:bCs/>
          <w:color w:val="auto"/>
          <w:sz w:val="32"/>
          <w:szCs w:val="32"/>
        </w:rPr>
        <w:t>1.</w:t>
      </w:r>
      <w:r>
        <w:rPr>
          <w:rStyle w:val="15"/>
          <w:rFonts w:hint="eastAsia" w:ascii="仿宋" w:hAnsi="仿宋" w:eastAsia="仿宋"/>
          <w:b w:val="0"/>
          <w:bCs/>
          <w:color w:val="auto"/>
          <w:sz w:val="32"/>
          <w:szCs w:val="32"/>
        </w:rPr>
        <w:t>一般公共服务（类）</w:t>
      </w:r>
      <w:r>
        <w:rPr>
          <w:rStyle w:val="15"/>
          <w:rFonts w:hint="eastAsia" w:ascii="仿宋" w:hAnsi="仿宋" w:eastAsia="仿宋"/>
          <w:b w:val="0"/>
          <w:bCs/>
          <w:color w:val="auto"/>
          <w:sz w:val="32"/>
          <w:szCs w:val="32"/>
          <w:lang w:val="en-US" w:eastAsia="zh-CN"/>
        </w:rPr>
        <w:t>群众团体事物</w:t>
      </w:r>
      <w:r>
        <w:rPr>
          <w:rStyle w:val="15"/>
          <w:rFonts w:hint="eastAsia" w:ascii="仿宋" w:hAnsi="仿宋" w:eastAsia="仿宋"/>
          <w:b w:val="0"/>
          <w:bCs/>
          <w:color w:val="auto"/>
          <w:sz w:val="32"/>
          <w:szCs w:val="32"/>
        </w:rPr>
        <w:t>（款）</w:t>
      </w:r>
      <w:r>
        <w:rPr>
          <w:rStyle w:val="15"/>
          <w:rFonts w:hint="eastAsia" w:ascii="仿宋" w:hAnsi="仿宋" w:eastAsia="仿宋"/>
          <w:b w:val="0"/>
          <w:bCs/>
          <w:color w:val="auto"/>
          <w:sz w:val="32"/>
          <w:szCs w:val="32"/>
          <w:lang w:val="en-US" w:eastAsia="zh-CN"/>
        </w:rPr>
        <w:t>事业运行</w:t>
      </w:r>
      <w:r>
        <w:rPr>
          <w:rStyle w:val="15"/>
          <w:rFonts w:hint="eastAsia" w:ascii="仿宋" w:hAnsi="仿宋" w:eastAsia="仿宋"/>
          <w:b w:val="0"/>
          <w:bCs/>
          <w:color w:val="auto"/>
          <w:sz w:val="32"/>
          <w:szCs w:val="32"/>
        </w:rPr>
        <w:t>（项）</w:t>
      </w:r>
      <w:r>
        <w:rPr>
          <w:rStyle w:val="15"/>
          <w:rFonts w:ascii="仿宋" w:hAnsi="仿宋" w:eastAsia="仿宋"/>
          <w:b w:val="0"/>
          <w:bCs/>
          <w:color w:val="auto"/>
          <w:sz w:val="32"/>
          <w:szCs w:val="32"/>
        </w:rPr>
        <w:t xml:space="preserve">: </w:t>
      </w:r>
      <w:r>
        <w:rPr>
          <w:rStyle w:val="15"/>
          <w:rFonts w:hint="eastAsia" w:ascii="仿宋" w:hAnsi="仿宋" w:eastAsia="仿宋"/>
          <w:b w:val="0"/>
          <w:bCs/>
          <w:color w:val="auto"/>
          <w:sz w:val="32"/>
          <w:szCs w:val="32"/>
        </w:rPr>
        <w:t>支出决算为</w:t>
      </w:r>
      <w:r>
        <w:rPr>
          <w:rStyle w:val="15"/>
          <w:rFonts w:hint="eastAsia" w:ascii="仿宋" w:hAnsi="仿宋" w:eastAsia="仿宋"/>
          <w:b w:val="0"/>
          <w:bCs/>
          <w:color w:val="auto"/>
          <w:sz w:val="32"/>
          <w:szCs w:val="32"/>
          <w:lang w:val="en-US" w:eastAsia="zh-CN"/>
        </w:rPr>
        <w:t>4.09</w:t>
      </w:r>
      <w:r>
        <w:rPr>
          <w:rStyle w:val="15"/>
          <w:rFonts w:hint="eastAsia" w:ascii="仿宋" w:hAnsi="仿宋" w:eastAsia="仿宋"/>
          <w:b w:val="0"/>
          <w:bCs/>
          <w:color w:val="auto"/>
          <w:sz w:val="32"/>
          <w:szCs w:val="32"/>
        </w:rPr>
        <w:t>万元，完成预算</w:t>
      </w:r>
      <w:r>
        <w:rPr>
          <w:rStyle w:val="15"/>
          <w:rFonts w:hint="eastAsia" w:ascii="仿宋" w:hAnsi="仿宋" w:eastAsia="仿宋"/>
          <w:b w:val="0"/>
          <w:bCs/>
          <w:color w:val="auto"/>
          <w:sz w:val="32"/>
          <w:szCs w:val="32"/>
          <w:lang w:val="en-US" w:eastAsia="zh-CN"/>
        </w:rPr>
        <w:t>100</w:t>
      </w:r>
      <w:r>
        <w:rPr>
          <w:rStyle w:val="15"/>
          <w:rFonts w:ascii="仿宋" w:hAnsi="仿宋" w:eastAsia="仿宋"/>
          <w:b w:val="0"/>
          <w:bCs/>
          <w:color w:val="auto"/>
          <w:sz w:val="32"/>
          <w:szCs w:val="32"/>
        </w:rPr>
        <w:t>%</w:t>
      </w:r>
      <w:r>
        <w:rPr>
          <w:rStyle w:val="15"/>
          <w:rFonts w:hint="eastAsia" w:ascii="仿宋" w:hAnsi="仿宋" w:eastAsia="仿宋"/>
          <w:b w:val="0"/>
          <w:bCs/>
          <w:color w:val="auto"/>
          <w:sz w:val="32"/>
          <w:szCs w:val="32"/>
        </w:rPr>
        <w:t>，</w:t>
      </w:r>
      <w:r>
        <w:rPr>
          <w:rStyle w:val="15"/>
          <w:rFonts w:hint="eastAsia" w:ascii="仿宋" w:hAnsi="仿宋" w:eastAsia="仿宋"/>
          <w:b w:val="0"/>
          <w:bCs/>
          <w:color w:val="auto"/>
          <w:sz w:val="32"/>
          <w:szCs w:val="32"/>
          <w:lang w:val="en-US" w:eastAsia="zh-CN"/>
        </w:rPr>
        <w:t>无增减变动</w:t>
      </w:r>
      <w:r>
        <w:rPr>
          <w:rStyle w:val="15"/>
          <w:rFonts w:hint="eastAsia" w:ascii="仿宋" w:hAnsi="仿宋" w:eastAsia="仿宋"/>
          <w:b w:val="0"/>
          <w:bCs/>
          <w:color w:val="auto"/>
          <w:sz w:val="32"/>
          <w:szCs w:val="32"/>
        </w:rPr>
        <w:t>。</w:t>
      </w:r>
    </w:p>
    <w:p>
      <w:pPr>
        <w:spacing w:line="600" w:lineRule="exact"/>
        <w:ind w:firstLine="640" w:firstLineChars="200"/>
        <w:outlineLvl w:val="9"/>
        <w:rPr>
          <w:rStyle w:val="15"/>
          <w:rFonts w:hint="eastAsia" w:ascii="仿宋" w:hAnsi="仿宋" w:eastAsia="仿宋"/>
          <w:b w:val="0"/>
          <w:bCs/>
          <w:color w:val="auto"/>
          <w:sz w:val="32"/>
          <w:szCs w:val="32"/>
        </w:rPr>
      </w:pPr>
      <w:r>
        <w:rPr>
          <w:rStyle w:val="15"/>
          <w:rFonts w:ascii="仿宋" w:hAnsi="仿宋" w:eastAsia="仿宋"/>
          <w:b w:val="0"/>
          <w:bCs/>
          <w:color w:val="auto"/>
          <w:sz w:val="32"/>
          <w:szCs w:val="32"/>
        </w:rPr>
        <w:t>2.</w:t>
      </w:r>
      <w:r>
        <w:rPr>
          <w:rStyle w:val="15"/>
          <w:rFonts w:hint="eastAsia" w:ascii="仿宋" w:hAnsi="仿宋" w:eastAsia="仿宋"/>
          <w:b w:val="0"/>
          <w:bCs/>
          <w:color w:val="auto"/>
          <w:sz w:val="32"/>
          <w:szCs w:val="32"/>
        </w:rPr>
        <w:t>教育</w:t>
      </w:r>
      <w:r>
        <w:rPr>
          <w:rStyle w:val="15"/>
          <w:rFonts w:hint="eastAsia" w:ascii="仿宋" w:hAnsi="仿宋" w:eastAsia="仿宋"/>
          <w:b w:val="0"/>
          <w:bCs/>
          <w:color w:val="auto"/>
          <w:sz w:val="32"/>
          <w:szCs w:val="32"/>
          <w:lang w:val="en-US" w:eastAsia="zh-CN"/>
        </w:rPr>
        <w:t>支出</w:t>
      </w:r>
      <w:r>
        <w:rPr>
          <w:rStyle w:val="15"/>
          <w:rFonts w:hint="eastAsia" w:ascii="仿宋" w:hAnsi="仿宋" w:eastAsia="仿宋"/>
          <w:b w:val="0"/>
          <w:bCs/>
          <w:color w:val="auto"/>
          <w:sz w:val="32"/>
          <w:szCs w:val="32"/>
        </w:rPr>
        <w:t>（类）</w:t>
      </w:r>
      <w:r>
        <w:rPr>
          <w:rStyle w:val="15"/>
          <w:rFonts w:hint="eastAsia" w:ascii="仿宋" w:hAnsi="仿宋" w:eastAsia="仿宋"/>
          <w:b w:val="0"/>
          <w:bCs/>
          <w:color w:val="auto"/>
          <w:sz w:val="32"/>
          <w:szCs w:val="32"/>
          <w:lang w:val="en-US" w:eastAsia="zh-CN"/>
        </w:rPr>
        <w:t>成人教育</w:t>
      </w:r>
      <w:r>
        <w:rPr>
          <w:rStyle w:val="15"/>
          <w:rFonts w:hint="eastAsia" w:ascii="仿宋" w:hAnsi="仿宋" w:eastAsia="仿宋"/>
          <w:b w:val="0"/>
          <w:bCs/>
          <w:color w:val="auto"/>
          <w:sz w:val="32"/>
          <w:szCs w:val="32"/>
        </w:rPr>
        <w:t>（款）</w:t>
      </w:r>
      <w:r>
        <w:rPr>
          <w:rStyle w:val="15"/>
          <w:rFonts w:hint="eastAsia" w:ascii="仿宋" w:hAnsi="仿宋" w:eastAsia="仿宋"/>
          <w:b w:val="0"/>
          <w:bCs/>
          <w:color w:val="auto"/>
          <w:sz w:val="32"/>
          <w:szCs w:val="32"/>
          <w:lang w:val="en-US" w:eastAsia="zh-CN"/>
        </w:rPr>
        <w:t>其他成人教育支出</w:t>
      </w:r>
      <w:r>
        <w:rPr>
          <w:rStyle w:val="15"/>
          <w:rFonts w:hint="eastAsia" w:ascii="仿宋" w:hAnsi="仿宋" w:eastAsia="仿宋"/>
          <w:b w:val="0"/>
          <w:bCs/>
          <w:color w:val="auto"/>
          <w:sz w:val="32"/>
          <w:szCs w:val="32"/>
        </w:rPr>
        <w:t>（项）</w:t>
      </w:r>
      <w:r>
        <w:rPr>
          <w:rStyle w:val="15"/>
          <w:rFonts w:ascii="仿宋" w:hAnsi="仿宋" w:eastAsia="仿宋"/>
          <w:b w:val="0"/>
          <w:bCs/>
          <w:color w:val="auto"/>
          <w:sz w:val="32"/>
          <w:szCs w:val="32"/>
        </w:rPr>
        <w:t xml:space="preserve">: </w:t>
      </w:r>
      <w:r>
        <w:rPr>
          <w:rStyle w:val="15"/>
          <w:rFonts w:hint="eastAsia" w:ascii="仿宋" w:hAnsi="仿宋" w:eastAsia="仿宋"/>
          <w:b w:val="0"/>
          <w:bCs/>
          <w:color w:val="auto"/>
          <w:sz w:val="32"/>
          <w:szCs w:val="32"/>
        </w:rPr>
        <w:t>支出决算为</w:t>
      </w:r>
      <w:r>
        <w:rPr>
          <w:rStyle w:val="15"/>
          <w:rFonts w:hint="eastAsia" w:ascii="仿宋" w:hAnsi="仿宋" w:eastAsia="仿宋"/>
          <w:b w:val="0"/>
          <w:bCs/>
          <w:color w:val="auto"/>
          <w:sz w:val="32"/>
          <w:szCs w:val="32"/>
          <w:lang w:val="en-US" w:eastAsia="zh-CN"/>
        </w:rPr>
        <w:t>238.23</w:t>
      </w:r>
      <w:r>
        <w:rPr>
          <w:rStyle w:val="15"/>
          <w:rFonts w:hint="eastAsia" w:ascii="仿宋" w:hAnsi="仿宋" w:eastAsia="仿宋"/>
          <w:b w:val="0"/>
          <w:bCs/>
          <w:color w:val="auto"/>
          <w:sz w:val="32"/>
          <w:szCs w:val="32"/>
        </w:rPr>
        <w:t>万元，完成预算</w:t>
      </w:r>
      <w:r>
        <w:rPr>
          <w:rStyle w:val="15"/>
          <w:rFonts w:hint="eastAsia" w:ascii="仿宋" w:hAnsi="仿宋" w:eastAsia="仿宋"/>
          <w:b w:val="0"/>
          <w:bCs/>
          <w:color w:val="auto"/>
          <w:sz w:val="32"/>
          <w:szCs w:val="32"/>
          <w:lang w:val="en-US" w:eastAsia="zh-CN"/>
        </w:rPr>
        <w:t>99.69</w:t>
      </w:r>
      <w:r>
        <w:rPr>
          <w:rStyle w:val="15"/>
          <w:rFonts w:ascii="仿宋" w:hAnsi="仿宋" w:eastAsia="仿宋"/>
          <w:b w:val="0"/>
          <w:bCs/>
          <w:color w:val="auto"/>
          <w:sz w:val="32"/>
          <w:szCs w:val="32"/>
        </w:rPr>
        <w:t>%</w:t>
      </w:r>
      <w:r>
        <w:rPr>
          <w:rStyle w:val="15"/>
          <w:rFonts w:hint="eastAsia" w:ascii="仿宋" w:hAnsi="仿宋" w:eastAsia="仿宋"/>
          <w:b w:val="0"/>
          <w:bCs/>
          <w:color w:val="auto"/>
          <w:sz w:val="32"/>
          <w:szCs w:val="32"/>
        </w:rPr>
        <w:t>，决算数</w:t>
      </w:r>
      <w:r>
        <w:rPr>
          <w:rStyle w:val="15"/>
          <w:rFonts w:hint="eastAsia" w:ascii="仿宋" w:hAnsi="仿宋" w:eastAsia="仿宋"/>
          <w:b w:val="0"/>
          <w:bCs/>
          <w:color w:val="auto"/>
          <w:sz w:val="32"/>
          <w:szCs w:val="32"/>
          <w:lang w:val="en-US" w:eastAsia="zh-CN"/>
        </w:rPr>
        <w:t>与预算数基本一致</w:t>
      </w:r>
      <w:r>
        <w:rPr>
          <w:rStyle w:val="15"/>
          <w:rFonts w:hint="eastAsia" w:ascii="仿宋" w:hAnsi="仿宋" w:eastAsia="仿宋"/>
          <w:b w:val="0"/>
          <w:bCs/>
          <w:color w:val="auto"/>
          <w:sz w:val="32"/>
          <w:szCs w:val="32"/>
        </w:rPr>
        <w:t>。</w:t>
      </w:r>
    </w:p>
    <w:p>
      <w:pPr>
        <w:spacing w:line="600" w:lineRule="exact"/>
        <w:ind w:firstLine="640" w:firstLineChars="200"/>
        <w:outlineLvl w:val="9"/>
        <w:rPr>
          <w:rStyle w:val="15"/>
          <w:rFonts w:hint="eastAsia" w:ascii="仿宋" w:hAnsi="仿宋" w:eastAsia="仿宋"/>
          <w:b w:val="0"/>
          <w:bCs/>
          <w:color w:val="auto"/>
          <w:sz w:val="32"/>
          <w:szCs w:val="32"/>
        </w:rPr>
      </w:pPr>
      <w:r>
        <w:rPr>
          <w:rStyle w:val="15"/>
          <w:rFonts w:hint="eastAsia" w:ascii="仿宋" w:hAnsi="仿宋" w:eastAsia="仿宋"/>
          <w:b w:val="0"/>
          <w:bCs/>
          <w:color w:val="auto"/>
          <w:sz w:val="32"/>
          <w:szCs w:val="32"/>
          <w:lang w:val="en-US" w:eastAsia="zh-CN"/>
        </w:rPr>
        <w:t>3</w:t>
      </w:r>
      <w:r>
        <w:rPr>
          <w:rStyle w:val="15"/>
          <w:rFonts w:ascii="仿宋" w:hAnsi="仿宋" w:eastAsia="仿宋"/>
          <w:b w:val="0"/>
          <w:bCs/>
          <w:color w:val="auto"/>
          <w:sz w:val="32"/>
          <w:szCs w:val="32"/>
        </w:rPr>
        <w:t>.</w:t>
      </w:r>
      <w:r>
        <w:rPr>
          <w:rStyle w:val="15"/>
          <w:rFonts w:hint="eastAsia" w:ascii="仿宋" w:hAnsi="仿宋" w:eastAsia="仿宋"/>
          <w:b w:val="0"/>
          <w:bCs/>
          <w:color w:val="auto"/>
          <w:sz w:val="32"/>
          <w:szCs w:val="32"/>
        </w:rPr>
        <w:t>教育</w:t>
      </w:r>
      <w:r>
        <w:rPr>
          <w:rStyle w:val="15"/>
          <w:rFonts w:hint="eastAsia" w:ascii="仿宋" w:hAnsi="仿宋" w:eastAsia="仿宋"/>
          <w:b w:val="0"/>
          <w:bCs/>
          <w:color w:val="auto"/>
          <w:sz w:val="32"/>
          <w:szCs w:val="32"/>
          <w:lang w:val="en-US" w:eastAsia="zh-CN"/>
        </w:rPr>
        <w:t>支出</w:t>
      </w:r>
      <w:r>
        <w:rPr>
          <w:rStyle w:val="15"/>
          <w:rFonts w:hint="eastAsia" w:ascii="仿宋" w:hAnsi="仿宋" w:eastAsia="仿宋"/>
          <w:b w:val="0"/>
          <w:bCs/>
          <w:color w:val="auto"/>
          <w:sz w:val="32"/>
          <w:szCs w:val="32"/>
        </w:rPr>
        <w:t>（类）</w:t>
      </w:r>
      <w:r>
        <w:rPr>
          <w:rStyle w:val="15"/>
          <w:rFonts w:hint="eastAsia" w:ascii="仿宋" w:hAnsi="仿宋" w:eastAsia="仿宋"/>
          <w:b w:val="0"/>
          <w:bCs/>
          <w:color w:val="auto"/>
          <w:sz w:val="32"/>
          <w:szCs w:val="32"/>
          <w:lang w:val="en-US" w:eastAsia="zh-CN"/>
        </w:rPr>
        <w:t>进修及培训</w:t>
      </w:r>
      <w:r>
        <w:rPr>
          <w:rStyle w:val="15"/>
          <w:rFonts w:hint="eastAsia" w:ascii="仿宋" w:hAnsi="仿宋" w:eastAsia="仿宋"/>
          <w:b w:val="0"/>
          <w:bCs/>
          <w:color w:val="auto"/>
          <w:sz w:val="32"/>
          <w:szCs w:val="32"/>
        </w:rPr>
        <w:t>（款）</w:t>
      </w:r>
      <w:r>
        <w:rPr>
          <w:rStyle w:val="15"/>
          <w:rFonts w:hint="eastAsia" w:ascii="仿宋" w:hAnsi="仿宋" w:eastAsia="仿宋"/>
          <w:b w:val="0"/>
          <w:bCs/>
          <w:color w:val="auto"/>
          <w:sz w:val="32"/>
          <w:szCs w:val="32"/>
          <w:lang w:val="en-US" w:eastAsia="zh-CN"/>
        </w:rPr>
        <w:t>教师进修</w:t>
      </w:r>
      <w:r>
        <w:rPr>
          <w:rStyle w:val="15"/>
          <w:rFonts w:hint="eastAsia" w:ascii="仿宋" w:hAnsi="仿宋" w:eastAsia="仿宋"/>
          <w:b w:val="0"/>
          <w:bCs/>
          <w:color w:val="auto"/>
          <w:sz w:val="32"/>
          <w:szCs w:val="32"/>
        </w:rPr>
        <w:t>（项）</w:t>
      </w:r>
      <w:r>
        <w:rPr>
          <w:rStyle w:val="15"/>
          <w:rFonts w:ascii="仿宋" w:hAnsi="仿宋" w:eastAsia="仿宋"/>
          <w:b w:val="0"/>
          <w:bCs/>
          <w:color w:val="auto"/>
          <w:sz w:val="32"/>
          <w:szCs w:val="32"/>
        </w:rPr>
        <w:t xml:space="preserve">: </w:t>
      </w:r>
      <w:r>
        <w:rPr>
          <w:rStyle w:val="15"/>
          <w:rFonts w:hint="eastAsia" w:ascii="仿宋" w:hAnsi="仿宋" w:eastAsia="仿宋"/>
          <w:b w:val="0"/>
          <w:bCs/>
          <w:color w:val="auto"/>
          <w:sz w:val="32"/>
          <w:szCs w:val="32"/>
        </w:rPr>
        <w:t>支出决算为</w:t>
      </w:r>
      <w:r>
        <w:rPr>
          <w:rStyle w:val="15"/>
          <w:rFonts w:hint="eastAsia" w:ascii="仿宋" w:hAnsi="仿宋" w:eastAsia="仿宋"/>
          <w:b w:val="0"/>
          <w:bCs/>
          <w:color w:val="auto"/>
          <w:sz w:val="32"/>
          <w:szCs w:val="32"/>
          <w:lang w:val="en-US" w:eastAsia="zh-CN"/>
        </w:rPr>
        <w:t>100</w:t>
      </w:r>
      <w:r>
        <w:rPr>
          <w:rStyle w:val="15"/>
          <w:rFonts w:hint="eastAsia" w:ascii="仿宋" w:hAnsi="仿宋" w:eastAsia="仿宋"/>
          <w:b w:val="0"/>
          <w:bCs/>
          <w:color w:val="auto"/>
          <w:sz w:val="32"/>
          <w:szCs w:val="32"/>
        </w:rPr>
        <w:t>万元，完成预算</w:t>
      </w:r>
      <w:r>
        <w:rPr>
          <w:rStyle w:val="15"/>
          <w:rFonts w:hint="eastAsia" w:ascii="仿宋" w:hAnsi="仿宋" w:eastAsia="仿宋"/>
          <w:b w:val="0"/>
          <w:bCs/>
          <w:color w:val="auto"/>
          <w:sz w:val="32"/>
          <w:szCs w:val="32"/>
          <w:lang w:val="en-US" w:eastAsia="zh-CN"/>
        </w:rPr>
        <w:t>100</w:t>
      </w:r>
      <w:r>
        <w:rPr>
          <w:rStyle w:val="15"/>
          <w:rFonts w:ascii="仿宋" w:hAnsi="仿宋" w:eastAsia="仿宋"/>
          <w:b w:val="0"/>
          <w:bCs/>
          <w:color w:val="auto"/>
          <w:sz w:val="32"/>
          <w:szCs w:val="32"/>
        </w:rPr>
        <w:t>%</w:t>
      </w:r>
      <w:r>
        <w:rPr>
          <w:rStyle w:val="15"/>
          <w:rFonts w:hint="eastAsia" w:ascii="仿宋" w:hAnsi="仿宋" w:eastAsia="仿宋"/>
          <w:b w:val="0"/>
          <w:bCs/>
          <w:color w:val="auto"/>
          <w:sz w:val="32"/>
          <w:szCs w:val="32"/>
        </w:rPr>
        <w:t>，</w:t>
      </w:r>
      <w:r>
        <w:rPr>
          <w:rStyle w:val="15"/>
          <w:rFonts w:hint="eastAsia" w:ascii="仿宋" w:hAnsi="仿宋" w:eastAsia="仿宋"/>
          <w:b w:val="0"/>
          <w:bCs/>
          <w:color w:val="auto"/>
          <w:sz w:val="32"/>
          <w:szCs w:val="32"/>
          <w:lang w:val="en-US" w:eastAsia="zh-CN"/>
        </w:rPr>
        <w:t>无增减变动</w:t>
      </w:r>
      <w:r>
        <w:rPr>
          <w:rStyle w:val="15"/>
          <w:rFonts w:hint="eastAsia" w:ascii="仿宋" w:hAnsi="仿宋" w:eastAsia="仿宋"/>
          <w:b w:val="0"/>
          <w:bCs/>
          <w:color w:val="auto"/>
          <w:sz w:val="32"/>
          <w:szCs w:val="32"/>
        </w:rPr>
        <w:t>。</w:t>
      </w:r>
    </w:p>
    <w:p>
      <w:pPr>
        <w:spacing w:line="600" w:lineRule="exact"/>
        <w:ind w:firstLine="640" w:firstLineChars="200"/>
        <w:outlineLvl w:val="9"/>
        <w:rPr>
          <w:b w:val="0"/>
          <w:bCs/>
        </w:rPr>
      </w:pPr>
      <w:r>
        <w:rPr>
          <w:rStyle w:val="15"/>
          <w:rFonts w:hint="eastAsia" w:ascii="仿宋" w:hAnsi="仿宋" w:eastAsia="仿宋"/>
          <w:b w:val="0"/>
          <w:bCs/>
          <w:color w:val="auto"/>
          <w:sz w:val="32"/>
          <w:szCs w:val="32"/>
          <w:lang w:val="en-US" w:eastAsia="zh-CN"/>
        </w:rPr>
        <w:t>4</w:t>
      </w:r>
      <w:r>
        <w:rPr>
          <w:rStyle w:val="15"/>
          <w:rFonts w:ascii="仿宋" w:hAnsi="仿宋" w:eastAsia="仿宋"/>
          <w:b w:val="0"/>
          <w:bCs/>
          <w:color w:val="auto"/>
          <w:sz w:val="32"/>
          <w:szCs w:val="32"/>
        </w:rPr>
        <w:t>.</w:t>
      </w:r>
      <w:r>
        <w:rPr>
          <w:rStyle w:val="15"/>
          <w:rFonts w:hint="eastAsia" w:ascii="仿宋" w:hAnsi="仿宋" w:eastAsia="仿宋"/>
          <w:b w:val="0"/>
          <w:bCs/>
          <w:color w:val="auto"/>
          <w:sz w:val="32"/>
          <w:szCs w:val="32"/>
        </w:rPr>
        <w:t>教育</w:t>
      </w:r>
      <w:r>
        <w:rPr>
          <w:rStyle w:val="15"/>
          <w:rFonts w:hint="eastAsia" w:ascii="仿宋" w:hAnsi="仿宋" w:eastAsia="仿宋"/>
          <w:b w:val="0"/>
          <w:bCs/>
          <w:color w:val="auto"/>
          <w:sz w:val="32"/>
          <w:szCs w:val="32"/>
          <w:lang w:val="en-US" w:eastAsia="zh-CN"/>
        </w:rPr>
        <w:t>支出</w:t>
      </w:r>
      <w:r>
        <w:rPr>
          <w:rStyle w:val="15"/>
          <w:rFonts w:hint="eastAsia" w:ascii="仿宋" w:hAnsi="仿宋" w:eastAsia="仿宋"/>
          <w:b w:val="0"/>
          <w:bCs/>
          <w:color w:val="auto"/>
          <w:sz w:val="32"/>
          <w:szCs w:val="32"/>
        </w:rPr>
        <w:t>（类）</w:t>
      </w:r>
      <w:r>
        <w:rPr>
          <w:rStyle w:val="15"/>
          <w:rFonts w:hint="eastAsia" w:ascii="仿宋" w:hAnsi="仿宋" w:eastAsia="仿宋"/>
          <w:b w:val="0"/>
          <w:bCs/>
          <w:color w:val="auto"/>
          <w:sz w:val="32"/>
          <w:szCs w:val="32"/>
          <w:lang w:val="en-US" w:eastAsia="zh-CN"/>
        </w:rPr>
        <w:t>进修及培训</w:t>
      </w:r>
      <w:r>
        <w:rPr>
          <w:rStyle w:val="15"/>
          <w:rFonts w:hint="eastAsia" w:ascii="仿宋" w:hAnsi="仿宋" w:eastAsia="仿宋"/>
          <w:b w:val="0"/>
          <w:bCs/>
          <w:color w:val="auto"/>
          <w:sz w:val="32"/>
          <w:szCs w:val="32"/>
        </w:rPr>
        <w:t>（款）</w:t>
      </w:r>
      <w:r>
        <w:rPr>
          <w:rStyle w:val="15"/>
          <w:rFonts w:hint="eastAsia" w:ascii="仿宋" w:hAnsi="仿宋" w:eastAsia="仿宋"/>
          <w:b w:val="0"/>
          <w:bCs/>
          <w:color w:val="auto"/>
          <w:sz w:val="32"/>
          <w:szCs w:val="32"/>
          <w:lang w:val="en-US" w:eastAsia="zh-CN"/>
        </w:rPr>
        <w:t>培训支出</w:t>
      </w:r>
      <w:r>
        <w:rPr>
          <w:rStyle w:val="15"/>
          <w:rFonts w:hint="eastAsia" w:ascii="仿宋" w:hAnsi="仿宋" w:eastAsia="仿宋"/>
          <w:b w:val="0"/>
          <w:bCs/>
          <w:color w:val="auto"/>
          <w:sz w:val="32"/>
          <w:szCs w:val="32"/>
        </w:rPr>
        <w:t>（项）</w:t>
      </w:r>
      <w:r>
        <w:rPr>
          <w:rStyle w:val="15"/>
          <w:rFonts w:ascii="仿宋" w:hAnsi="仿宋" w:eastAsia="仿宋"/>
          <w:b w:val="0"/>
          <w:bCs/>
          <w:color w:val="auto"/>
          <w:sz w:val="32"/>
          <w:szCs w:val="32"/>
        </w:rPr>
        <w:t xml:space="preserve">: </w:t>
      </w:r>
      <w:r>
        <w:rPr>
          <w:rStyle w:val="15"/>
          <w:rFonts w:hint="eastAsia" w:ascii="仿宋" w:hAnsi="仿宋" w:eastAsia="仿宋"/>
          <w:b w:val="0"/>
          <w:bCs/>
          <w:color w:val="auto"/>
          <w:sz w:val="32"/>
          <w:szCs w:val="32"/>
        </w:rPr>
        <w:t>支出决算为</w:t>
      </w:r>
      <w:r>
        <w:rPr>
          <w:rStyle w:val="15"/>
          <w:rFonts w:hint="eastAsia" w:ascii="仿宋" w:hAnsi="仿宋" w:eastAsia="仿宋"/>
          <w:b w:val="0"/>
          <w:bCs/>
          <w:color w:val="auto"/>
          <w:sz w:val="32"/>
          <w:szCs w:val="32"/>
          <w:lang w:val="en-US" w:eastAsia="zh-CN"/>
        </w:rPr>
        <w:t>150</w:t>
      </w:r>
      <w:r>
        <w:rPr>
          <w:rStyle w:val="15"/>
          <w:rFonts w:hint="eastAsia" w:ascii="仿宋" w:hAnsi="仿宋" w:eastAsia="仿宋"/>
          <w:b w:val="0"/>
          <w:bCs/>
          <w:color w:val="auto"/>
          <w:sz w:val="32"/>
          <w:szCs w:val="32"/>
        </w:rPr>
        <w:t>万元，完成预算</w:t>
      </w:r>
      <w:r>
        <w:rPr>
          <w:rStyle w:val="15"/>
          <w:rFonts w:hint="eastAsia" w:ascii="仿宋" w:hAnsi="仿宋" w:eastAsia="仿宋"/>
          <w:b w:val="0"/>
          <w:bCs/>
          <w:color w:val="auto"/>
          <w:sz w:val="32"/>
          <w:szCs w:val="32"/>
          <w:lang w:val="en-US" w:eastAsia="zh-CN"/>
        </w:rPr>
        <w:t>100</w:t>
      </w:r>
      <w:r>
        <w:rPr>
          <w:rStyle w:val="15"/>
          <w:rFonts w:ascii="仿宋" w:hAnsi="仿宋" w:eastAsia="仿宋"/>
          <w:b w:val="0"/>
          <w:bCs/>
          <w:color w:val="auto"/>
          <w:sz w:val="32"/>
          <w:szCs w:val="32"/>
        </w:rPr>
        <w:t>%</w:t>
      </w:r>
      <w:r>
        <w:rPr>
          <w:rStyle w:val="15"/>
          <w:rFonts w:hint="eastAsia" w:ascii="仿宋" w:hAnsi="仿宋" w:eastAsia="仿宋"/>
          <w:b w:val="0"/>
          <w:bCs/>
          <w:color w:val="auto"/>
          <w:sz w:val="32"/>
          <w:szCs w:val="32"/>
        </w:rPr>
        <w:t>，</w:t>
      </w:r>
      <w:r>
        <w:rPr>
          <w:rStyle w:val="15"/>
          <w:rFonts w:hint="eastAsia" w:ascii="仿宋" w:hAnsi="仿宋" w:eastAsia="仿宋"/>
          <w:b w:val="0"/>
          <w:bCs/>
          <w:color w:val="auto"/>
          <w:sz w:val="32"/>
          <w:szCs w:val="32"/>
          <w:lang w:val="en-US" w:eastAsia="zh-CN"/>
        </w:rPr>
        <w:t>无增减变动</w:t>
      </w:r>
      <w:r>
        <w:rPr>
          <w:rStyle w:val="15"/>
          <w:rFonts w:hint="eastAsia" w:ascii="仿宋" w:hAnsi="仿宋" w:eastAsia="仿宋"/>
          <w:b w:val="0"/>
          <w:bCs/>
          <w:color w:val="auto"/>
          <w:sz w:val="32"/>
          <w:szCs w:val="32"/>
        </w:rPr>
        <w:t>。</w:t>
      </w:r>
    </w:p>
    <w:p>
      <w:pPr>
        <w:spacing w:line="600" w:lineRule="exact"/>
        <w:ind w:firstLine="640" w:firstLineChars="200"/>
        <w:outlineLvl w:val="9"/>
        <w:rPr>
          <w:rStyle w:val="15"/>
          <w:rFonts w:hint="eastAsia" w:ascii="仿宋" w:hAnsi="仿宋" w:eastAsia="仿宋"/>
          <w:b w:val="0"/>
          <w:bCs/>
          <w:color w:val="auto"/>
          <w:sz w:val="32"/>
          <w:szCs w:val="32"/>
        </w:rPr>
      </w:pPr>
      <w:r>
        <w:rPr>
          <w:rStyle w:val="15"/>
          <w:rFonts w:hint="eastAsia" w:ascii="仿宋" w:hAnsi="仿宋" w:eastAsia="仿宋"/>
          <w:b w:val="0"/>
          <w:bCs/>
          <w:color w:val="auto"/>
          <w:sz w:val="32"/>
          <w:szCs w:val="32"/>
          <w:lang w:val="en-US" w:eastAsia="zh-CN"/>
        </w:rPr>
        <w:t>5</w:t>
      </w:r>
      <w:r>
        <w:rPr>
          <w:rStyle w:val="15"/>
          <w:rFonts w:ascii="仿宋" w:hAnsi="仿宋" w:eastAsia="仿宋"/>
          <w:b w:val="0"/>
          <w:bCs/>
          <w:color w:val="auto"/>
          <w:sz w:val="32"/>
          <w:szCs w:val="32"/>
        </w:rPr>
        <w:t>.</w:t>
      </w:r>
      <w:r>
        <w:rPr>
          <w:rStyle w:val="15"/>
          <w:rFonts w:hint="eastAsia" w:ascii="仿宋" w:hAnsi="仿宋" w:eastAsia="仿宋"/>
          <w:b w:val="0"/>
          <w:bCs/>
          <w:color w:val="auto"/>
          <w:sz w:val="32"/>
          <w:szCs w:val="32"/>
        </w:rPr>
        <w:t>社会保障和就业（类</w:t>
      </w:r>
      <w:r>
        <w:rPr>
          <w:rStyle w:val="15"/>
          <w:rFonts w:hint="eastAsia" w:ascii="仿宋" w:hAnsi="仿宋" w:eastAsia="仿宋"/>
          <w:b w:val="0"/>
          <w:bCs/>
          <w:color w:val="auto"/>
          <w:sz w:val="32"/>
          <w:szCs w:val="32"/>
          <w:lang w:eastAsia="zh-CN"/>
        </w:rPr>
        <w:t>）</w:t>
      </w:r>
      <w:r>
        <w:rPr>
          <w:rStyle w:val="15"/>
          <w:rFonts w:hint="eastAsia" w:ascii="仿宋" w:hAnsi="仿宋" w:eastAsia="仿宋"/>
          <w:b w:val="0"/>
          <w:bCs/>
          <w:color w:val="auto"/>
          <w:sz w:val="32"/>
          <w:szCs w:val="32"/>
          <w:lang w:val="en-US" w:eastAsia="zh-CN"/>
        </w:rPr>
        <w:t>行政事业单位养老支出</w:t>
      </w:r>
      <w:r>
        <w:rPr>
          <w:rStyle w:val="15"/>
          <w:rFonts w:hint="eastAsia" w:ascii="仿宋" w:hAnsi="仿宋" w:eastAsia="仿宋"/>
          <w:b w:val="0"/>
          <w:bCs/>
          <w:color w:val="auto"/>
          <w:sz w:val="32"/>
          <w:szCs w:val="32"/>
        </w:rPr>
        <w:t>（款）</w:t>
      </w:r>
      <w:r>
        <w:rPr>
          <w:rStyle w:val="15"/>
          <w:rFonts w:hint="eastAsia" w:ascii="仿宋" w:hAnsi="仿宋" w:eastAsia="仿宋"/>
          <w:b w:val="0"/>
          <w:bCs/>
          <w:color w:val="auto"/>
          <w:sz w:val="32"/>
          <w:szCs w:val="32"/>
          <w:lang w:val="en-US" w:eastAsia="zh-CN"/>
        </w:rPr>
        <w:t>事业单位离退休</w:t>
      </w:r>
      <w:r>
        <w:rPr>
          <w:rStyle w:val="15"/>
          <w:rFonts w:hint="eastAsia" w:ascii="仿宋" w:hAnsi="仿宋" w:eastAsia="仿宋"/>
          <w:b w:val="0"/>
          <w:bCs/>
          <w:color w:val="auto"/>
          <w:sz w:val="32"/>
          <w:szCs w:val="32"/>
        </w:rPr>
        <w:t>（项）</w:t>
      </w:r>
      <w:r>
        <w:rPr>
          <w:rStyle w:val="15"/>
          <w:rFonts w:ascii="仿宋" w:hAnsi="仿宋" w:eastAsia="仿宋"/>
          <w:b w:val="0"/>
          <w:bCs/>
          <w:color w:val="auto"/>
          <w:sz w:val="32"/>
          <w:szCs w:val="32"/>
        </w:rPr>
        <w:t xml:space="preserve">: </w:t>
      </w:r>
      <w:r>
        <w:rPr>
          <w:rStyle w:val="15"/>
          <w:rFonts w:hint="eastAsia" w:ascii="仿宋" w:hAnsi="仿宋" w:eastAsia="仿宋"/>
          <w:b w:val="0"/>
          <w:bCs/>
          <w:color w:val="auto"/>
          <w:sz w:val="32"/>
          <w:szCs w:val="32"/>
        </w:rPr>
        <w:t>支出决算为</w:t>
      </w:r>
      <w:r>
        <w:rPr>
          <w:rStyle w:val="15"/>
          <w:rFonts w:hint="eastAsia" w:ascii="仿宋" w:hAnsi="仿宋" w:eastAsia="仿宋"/>
          <w:b w:val="0"/>
          <w:bCs/>
          <w:color w:val="auto"/>
          <w:sz w:val="32"/>
          <w:szCs w:val="32"/>
          <w:lang w:val="en-US" w:eastAsia="zh-CN"/>
        </w:rPr>
        <w:t>90.83</w:t>
      </w:r>
      <w:r>
        <w:rPr>
          <w:rStyle w:val="15"/>
          <w:rFonts w:hint="eastAsia" w:ascii="仿宋" w:hAnsi="仿宋" w:eastAsia="仿宋"/>
          <w:b w:val="0"/>
          <w:bCs/>
          <w:color w:val="auto"/>
          <w:sz w:val="32"/>
          <w:szCs w:val="32"/>
        </w:rPr>
        <w:t>万元，完成预算</w:t>
      </w:r>
      <w:r>
        <w:rPr>
          <w:rStyle w:val="15"/>
          <w:rFonts w:hint="eastAsia" w:ascii="仿宋" w:hAnsi="仿宋" w:eastAsia="仿宋"/>
          <w:b w:val="0"/>
          <w:bCs/>
          <w:color w:val="auto"/>
          <w:sz w:val="32"/>
          <w:szCs w:val="32"/>
          <w:lang w:val="en-US" w:eastAsia="zh-CN"/>
        </w:rPr>
        <w:t>100</w:t>
      </w:r>
      <w:r>
        <w:rPr>
          <w:rStyle w:val="15"/>
          <w:rFonts w:ascii="仿宋" w:hAnsi="仿宋" w:eastAsia="仿宋"/>
          <w:b w:val="0"/>
          <w:bCs/>
          <w:color w:val="auto"/>
          <w:sz w:val="32"/>
          <w:szCs w:val="32"/>
        </w:rPr>
        <w:t>%</w:t>
      </w:r>
      <w:r>
        <w:rPr>
          <w:rStyle w:val="15"/>
          <w:rFonts w:hint="eastAsia" w:ascii="仿宋" w:hAnsi="仿宋" w:eastAsia="仿宋"/>
          <w:b w:val="0"/>
          <w:bCs/>
          <w:color w:val="auto"/>
          <w:sz w:val="32"/>
          <w:szCs w:val="32"/>
        </w:rPr>
        <w:t>，</w:t>
      </w:r>
      <w:r>
        <w:rPr>
          <w:rStyle w:val="15"/>
          <w:rFonts w:hint="eastAsia" w:ascii="仿宋" w:hAnsi="仿宋" w:eastAsia="仿宋"/>
          <w:b w:val="0"/>
          <w:bCs/>
          <w:color w:val="auto"/>
          <w:sz w:val="32"/>
          <w:szCs w:val="32"/>
          <w:lang w:val="en-US" w:eastAsia="zh-CN"/>
        </w:rPr>
        <w:t>无增减变动</w:t>
      </w:r>
      <w:r>
        <w:rPr>
          <w:rStyle w:val="15"/>
          <w:rFonts w:hint="eastAsia" w:ascii="仿宋" w:hAnsi="仿宋" w:eastAsia="仿宋"/>
          <w:b w:val="0"/>
          <w:bCs/>
          <w:color w:val="auto"/>
          <w:sz w:val="32"/>
          <w:szCs w:val="32"/>
        </w:rPr>
        <w:t>。</w:t>
      </w:r>
    </w:p>
    <w:p>
      <w:pPr>
        <w:spacing w:line="600" w:lineRule="exact"/>
        <w:ind w:firstLine="640" w:firstLineChars="200"/>
        <w:outlineLvl w:val="9"/>
        <w:rPr>
          <w:rStyle w:val="15"/>
          <w:rFonts w:hint="eastAsia" w:ascii="仿宋" w:hAnsi="仿宋" w:eastAsia="仿宋"/>
          <w:b w:val="0"/>
          <w:bCs/>
          <w:color w:val="auto"/>
          <w:sz w:val="32"/>
          <w:szCs w:val="32"/>
        </w:rPr>
      </w:pPr>
      <w:r>
        <w:rPr>
          <w:rStyle w:val="15"/>
          <w:rFonts w:hint="eastAsia" w:ascii="仿宋" w:hAnsi="仿宋" w:eastAsia="仿宋"/>
          <w:b w:val="0"/>
          <w:bCs/>
          <w:color w:val="auto"/>
          <w:sz w:val="32"/>
          <w:szCs w:val="32"/>
          <w:lang w:val="en-US" w:eastAsia="zh-CN"/>
        </w:rPr>
        <w:t>6</w:t>
      </w:r>
      <w:r>
        <w:rPr>
          <w:rStyle w:val="15"/>
          <w:rFonts w:ascii="仿宋" w:hAnsi="仿宋" w:eastAsia="仿宋"/>
          <w:b w:val="0"/>
          <w:bCs/>
          <w:color w:val="auto"/>
          <w:sz w:val="32"/>
          <w:szCs w:val="32"/>
        </w:rPr>
        <w:t>.</w:t>
      </w:r>
      <w:r>
        <w:rPr>
          <w:rStyle w:val="15"/>
          <w:rFonts w:hint="eastAsia" w:ascii="仿宋" w:hAnsi="仿宋" w:eastAsia="仿宋"/>
          <w:b w:val="0"/>
          <w:bCs/>
          <w:color w:val="auto"/>
          <w:sz w:val="32"/>
          <w:szCs w:val="32"/>
        </w:rPr>
        <w:t>社会保障和就业（类</w:t>
      </w:r>
      <w:r>
        <w:rPr>
          <w:rStyle w:val="15"/>
          <w:rFonts w:hint="eastAsia" w:ascii="仿宋" w:hAnsi="仿宋" w:eastAsia="仿宋"/>
          <w:b w:val="0"/>
          <w:bCs/>
          <w:color w:val="auto"/>
          <w:sz w:val="32"/>
          <w:szCs w:val="32"/>
          <w:lang w:eastAsia="zh-CN"/>
        </w:rPr>
        <w:t>）</w:t>
      </w:r>
      <w:r>
        <w:rPr>
          <w:rStyle w:val="15"/>
          <w:rFonts w:hint="eastAsia" w:ascii="仿宋" w:hAnsi="仿宋" w:eastAsia="仿宋"/>
          <w:b w:val="0"/>
          <w:bCs/>
          <w:color w:val="auto"/>
          <w:sz w:val="32"/>
          <w:szCs w:val="32"/>
          <w:lang w:val="en-US" w:eastAsia="zh-CN"/>
        </w:rPr>
        <w:t>行政事业单位养老支出</w:t>
      </w:r>
      <w:r>
        <w:rPr>
          <w:rStyle w:val="15"/>
          <w:rFonts w:hint="eastAsia" w:ascii="仿宋" w:hAnsi="仿宋" w:eastAsia="仿宋"/>
          <w:b w:val="0"/>
          <w:bCs/>
          <w:color w:val="auto"/>
          <w:sz w:val="32"/>
          <w:szCs w:val="32"/>
        </w:rPr>
        <w:t>（款）</w:t>
      </w:r>
      <w:r>
        <w:rPr>
          <w:rStyle w:val="15"/>
          <w:rFonts w:hint="eastAsia" w:ascii="仿宋" w:hAnsi="仿宋" w:eastAsia="仿宋"/>
          <w:b w:val="0"/>
          <w:bCs/>
          <w:color w:val="auto"/>
          <w:sz w:val="32"/>
          <w:szCs w:val="32"/>
          <w:lang w:val="en-US" w:eastAsia="zh-CN"/>
        </w:rPr>
        <w:t>机关事业单位基本养老保险缴费支出</w:t>
      </w:r>
      <w:r>
        <w:rPr>
          <w:rStyle w:val="15"/>
          <w:rFonts w:hint="eastAsia" w:ascii="仿宋" w:hAnsi="仿宋" w:eastAsia="仿宋"/>
          <w:b w:val="0"/>
          <w:bCs/>
          <w:color w:val="auto"/>
          <w:sz w:val="32"/>
          <w:szCs w:val="32"/>
          <w:lang w:eastAsia="zh-CN"/>
        </w:rPr>
        <w:t>（</w:t>
      </w:r>
      <w:r>
        <w:rPr>
          <w:rStyle w:val="15"/>
          <w:rFonts w:hint="eastAsia" w:ascii="仿宋" w:hAnsi="仿宋" w:eastAsia="仿宋"/>
          <w:b w:val="0"/>
          <w:bCs/>
          <w:color w:val="auto"/>
          <w:sz w:val="32"/>
          <w:szCs w:val="32"/>
        </w:rPr>
        <w:t>项）</w:t>
      </w:r>
      <w:r>
        <w:rPr>
          <w:rStyle w:val="15"/>
          <w:rFonts w:ascii="仿宋" w:hAnsi="仿宋" w:eastAsia="仿宋"/>
          <w:b w:val="0"/>
          <w:bCs/>
          <w:color w:val="auto"/>
          <w:sz w:val="32"/>
          <w:szCs w:val="32"/>
        </w:rPr>
        <w:t xml:space="preserve">: </w:t>
      </w:r>
      <w:r>
        <w:rPr>
          <w:rStyle w:val="15"/>
          <w:rFonts w:hint="eastAsia" w:ascii="仿宋" w:hAnsi="仿宋" w:eastAsia="仿宋"/>
          <w:b w:val="0"/>
          <w:bCs/>
          <w:color w:val="auto"/>
          <w:sz w:val="32"/>
          <w:szCs w:val="32"/>
        </w:rPr>
        <w:t>支出决算为</w:t>
      </w:r>
      <w:r>
        <w:rPr>
          <w:rStyle w:val="15"/>
          <w:rFonts w:hint="eastAsia" w:ascii="仿宋" w:hAnsi="仿宋" w:eastAsia="仿宋"/>
          <w:b w:val="0"/>
          <w:bCs/>
          <w:color w:val="auto"/>
          <w:sz w:val="32"/>
          <w:szCs w:val="32"/>
          <w:lang w:val="en-US" w:eastAsia="zh-CN"/>
        </w:rPr>
        <w:t>54</w:t>
      </w:r>
      <w:r>
        <w:rPr>
          <w:rStyle w:val="15"/>
          <w:rFonts w:hint="eastAsia" w:ascii="仿宋" w:hAnsi="仿宋" w:eastAsia="仿宋"/>
          <w:b w:val="0"/>
          <w:bCs/>
          <w:color w:val="auto"/>
          <w:sz w:val="32"/>
          <w:szCs w:val="32"/>
        </w:rPr>
        <w:t>万元，完成预算</w:t>
      </w:r>
      <w:r>
        <w:rPr>
          <w:rStyle w:val="15"/>
          <w:rFonts w:hint="eastAsia" w:ascii="仿宋" w:hAnsi="仿宋" w:eastAsia="仿宋"/>
          <w:b w:val="0"/>
          <w:bCs/>
          <w:color w:val="auto"/>
          <w:sz w:val="32"/>
          <w:szCs w:val="32"/>
          <w:lang w:val="en-US" w:eastAsia="zh-CN"/>
        </w:rPr>
        <w:t>100</w:t>
      </w:r>
      <w:r>
        <w:rPr>
          <w:rStyle w:val="15"/>
          <w:rFonts w:ascii="仿宋" w:hAnsi="仿宋" w:eastAsia="仿宋"/>
          <w:b w:val="0"/>
          <w:bCs/>
          <w:color w:val="auto"/>
          <w:sz w:val="32"/>
          <w:szCs w:val="32"/>
        </w:rPr>
        <w:t>%</w:t>
      </w:r>
      <w:r>
        <w:rPr>
          <w:rStyle w:val="15"/>
          <w:rFonts w:hint="eastAsia" w:ascii="仿宋" w:hAnsi="仿宋" w:eastAsia="仿宋"/>
          <w:b w:val="0"/>
          <w:bCs/>
          <w:color w:val="auto"/>
          <w:sz w:val="32"/>
          <w:szCs w:val="32"/>
        </w:rPr>
        <w:t>，</w:t>
      </w:r>
      <w:r>
        <w:rPr>
          <w:rStyle w:val="15"/>
          <w:rFonts w:hint="eastAsia" w:ascii="仿宋" w:hAnsi="仿宋" w:eastAsia="仿宋"/>
          <w:b w:val="0"/>
          <w:bCs/>
          <w:color w:val="auto"/>
          <w:sz w:val="32"/>
          <w:szCs w:val="32"/>
          <w:lang w:val="en-US" w:eastAsia="zh-CN"/>
        </w:rPr>
        <w:t>无增减变动</w:t>
      </w:r>
      <w:r>
        <w:rPr>
          <w:rStyle w:val="15"/>
          <w:rFonts w:hint="eastAsia" w:ascii="仿宋" w:hAnsi="仿宋" w:eastAsia="仿宋"/>
          <w:b w:val="0"/>
          <w:bCs/>
          <w:color w:val="auto"/>
          <w:sz w:val="32"/>
          <w:szCs w:val="32"/>
        </w:rPr>
        <w:t>。</w:t>
      </w:r>
    </w:p>
    <w:p>
      <w:pPr>
        <w:spacing w:line="600" w:lineRule="exact"/>
        <w:ind w:firstLine="640" w:firstLineChars="200"/>
        <w:outlineLvl w:val="9"/>
        <w:rPr>
          <w:rStyle w:val="15"/>
          <w:rFonts w:hint="eastAsia" w:ascii="仿宋" w:hAnsi="仿宋" w:eastAsia="仿宋"/>
          <w:b w:val="0"/>
          <w:bCs/>
          <w:color w:val="auto"/>
          <w:sz w:val="32"/>
          <w:szCs w:val="32"/>
        </w:rPr>
      </w:pPr>
      <w:r>
        <w:rPr>
          <w:rStyle w:val="15"/>
          <w:rFonts w:hint="eastAsia" w:ascii="仿宋" w:hAnsi="仿宋" w:eastAsia="仿宋"/>
          <w:b w:val="0"/>
          <w:bCs/>
          <w:color w:val="auto"/>
          <w:sz w:val="32"/>
          <w:szCs w:val="32"/>
          <w:lang w:val="en-US" w:eastAsia="zh-CN"/>
        </w:rPr>
        <w:t>7</w:t>
      </w:r>
      <w:r>
        <w:rPr>
          <w:rStyle w:val="15"/>
          <w:rFonts w:ascii="仿宋" w:hAnsi="仿宋" w:eastAsia="仿宋"/>
          <w:b w:val="0"/>
          <w:bCs/>
          <w:color w:val="auto"/>
          <w:sz w:val="32"/>
          <w:szCs w:val="32"/>
        </w:rPr>
        <w:t>.</w:t>
      </w:r>
      <w:r>
        <w:rPr>
          <w:rStyle w:val="15"/>
          <w:rFonts w:hint="eastAsia" w:ascii="仿宋" w:hAnsi="仿宋" w:eastAsia="仿宋"/>
          <w:b w:val="0"/>
          <w:bCs/>
          <w:color w:val="auto"/>
          <w:sz w:val="32"/>
          <w:szCs w:val="32"/>
        </w:rPr>
        <w:t>社会保障和就业（类</w:t>
      </w:r>
      <w:r>
        <w:rPr>
          <w:rStyle w:val="15"/>
          <w:rFonts w:hint="eastAsia" w:ascii="仿宋" w:hAnsi="仿宋" w:eastAsia="仿宋"/>
          <w:b w:val="0"/>
          <w:bCs/>
          <w:color w:val="auto"/>
          <w:sz w:val="32"/>
          <w:szCs w:val="32"/>
          <w:lang w:eastAsia="zh-CN"/>
        </w:rPr>
        <w:t>）</w:t>
      </w:r>
      <w:r>
        <w:rPr>
          <w:rStyle w:val="15"/>
          <w:rFonts w:hint="eastAsia" w:ascii="仿宋" w:hAnsi="仿宋" w:eastAsia="仿宋"/>
          <w:b w:val="0"/>
          <w:bCs/>
          <w:color w:val="auto"/>
          <w:sz w:val="32"/>
          <w:szCs w:val="32"/>
          <w:lang w:val="en-US" w:eastAsia="zh-CN"/>
        </w:rPr>
        <w:t>行政事业单位养老支出</w:t>
      </w:r>
      <w:r>
        <w:rPr>
          <w:rStyle w:val="15"/>
          <w:rFonts w:hint="eastAsia" w:ascii="仿宋" w:hAnsi="仿宋" w:eastAsia="仿宋"/>
          <w:b w:val="0"/>
          <w:bCs/>
          <w:color w:val="auto"/>
          <w:sz w:val="32"/>
          <w:szCs w:val="32"/>
        </w:rPr>
        <w:t>（款）</w:t>
      </w:r>
      <w:r>
        <w:rPr>
          <w:rStyle w:val="15"/>
          <w:rFonts w:hint="eastAsia" w:ascii="仿宋" w:hAnsi="仿宋" w:eastAsia="仿宋"/>
          <w:b w:val="0"/>
          <w:bCs/>
          <w:color w:val="auto"/>
          <w:sz w:val="32"/>
          <w:szCs w:val="32"/>
          <w:lang w:val="en-US" w:eastAsia="zh-CN"/>
        </w:rPr>
        <w:t>机关事业单位职业年金缴费支出</w:t>
      </w:r>
      <w:r>
        <w:rPr>
          <w:rStyle w:val="15"/>
          <w:rFonts w:hint="eastAsia" w:ascii="仿宋" w:hAnsi="仿宋" w:eastAsia="仿宋"/>
          <w:b w:val="0"/>
          <w:bCs/>
          <w:color w:val="auto"/>
          <w:sz w:val="32"/>
          <w:szCs w:val="32"/>
        </w:rPr>
        <w:t>（项）</w:t>
      </w:r>
      <w:r>
        <w:rPr>
          <w:rStyle w:val="15"/>
          <w:rFonts w:ascii="仿宋" w:hAnsi="仿宋" w:eastAsia="仿宋"/>
          <w:b w:val="0"/>
          <w:bCs/>
          <w:color w:val="auto"/>
          <w:sz w:val="32"/>
          <w:szCs w:val="32"/>
        </w:rPr>
        <w:t xml:space="preserve">: </w:t>
      </w:r>
      <w:r>
        <w:rPr>
          <w:rStyle w:val="15"/>
          <w:rFonts w:hint="eastAsia" w:ascii="仿宋" w:hAnsi="仿宋" w:eastAsia="仿宋"/>
          <w:b w:val="0"/>
          <w:bCs/>
          <w:color w:val="auto"/>
          <w:sz w:val="32"/>
          <w:szCs w:val="32"/>
        </w:rPr>
        <w:t>支出决算为</w:t>
      </w:r>
      <w:r>
        <w:rPr>
          <w:rStyle w:val="15"/>
          <w:rFonts w:hint="eastAsia" w:ascii="仿宋" w:hAnsi="仿宋" w:eastAsia="仿宋"/>
          <w:b w:val="0"/>
          <w:bCs/>
          <w:color w:val="auto"/>
          <w:sz w:val="32"/>
          <w:szCs w:val="32"/>
          <w:lang w:val="en-US" w:eastAsia="zh-CN"/>
        </w:rPr>
        <w:t>29</w:t>
      </w:r>
      <w:r>
        <w:rPr>
          <w:rStyle w:val="15"/>
          <w:rFonts w:hint="eastAsia" w:ascii="仿宋" w:hAnsi="仿宋" w:eastAsia="仿宋"/>
          <w:b w:val="0"/>
          <w:bCs/>
          <w:color w:val="auto"/>
          <w:sz w:val="32"/>
          <w:szCs w:val="32"/>
        </w:rPr>
        <w:t>万元，完成预算</w:t>
      </w:r>
      <w:r>
        <w:rPr>
          <w:rStyle w:val="15"/>
          <w:rFonts w:hint="eastAsia" w:ascii="仿宋" w:hAnsi="仿宋" w:eastAsia="仿宋"/>
          <w:b w:val="0"/>
          <w:bCs/>
          <w:color w:val="auto"/>
          <w:sz w:val="32"/>
          <w:szCs w:val="32"/>
          <w:lang w:val="en-US" w:eastAsia="zh-CN"/>
        </w:rPr>
        <w:t>100</w:t>
      </w:r>
      <w:r>
        <w:rPr>
          <w:rStyle w:val="15"/>
          <w:rFonts w:ascii="仿宋" w:hAnsi="仿宋" w:eastAsia="仿宋"/>
          <w:b w:val="0"/>
          <w:bCs/>
          <w:color w:val="auto"/>
          <w:sz w:val="32"/>
          <w:szCs w:val="32"/>
        </w:rPr>
        <w:t>%</w:t>
      </w:r>
      <w:r>
        <w:rPr>
          <w:rStyle w:val="15"/>
          <w:rFonts w:hint="eastAsia" w:ascii="仿宋" w:hAnsi="仿宋" w:eastAsia="仿宋"/>
          <w:b w:val="0"/>
          <w:bCs/>
          <w:color w:val="auto"/>
          <w:sz w:val="32"/>
          <w:szCs w:val="32"/>
        </w:rPr>
        <w:t>，</w:t>
      </w:r>
      <w:r>
        <w:rPr>
          <w:rStyle w:val="15"/>
          <w:rFonts w:hint="eastAsia" w:ascii="仿宋" w:hAnsi="仿宋" w:eastAsia="仿宋"/>
          <w:b w:val="0"/>
          <w:bCs/>
          <w:color w:val="auto"/>
          <w:sz w:val="32"/>
          <w:szCs w:val="32"/>
          <w:lang w:val="en-US" w:eastAsia="zh-CN"/>
        </w:rPr>
        <w:t>无增减变动</w:t>
      </w:r>
      <w:r>
        <w:rPr>
          <w:rStyle w:val="15"/>
          <w:rFonts w:hint="eastAsia" w:ascii="仿宋" w:hAnsi="仿宋" w:eastAsia="仿宋"/>
          <w:b w:val="0"/>
          <w:bCs/>
          <w:color w:val="auto"/>
          <w:sz w:val="32"/>
          <w:szCs w:val="32"/>
        </w:rPr>
        <w:t>。</w:t>
      </w:r>
    </w:p>
    <w:p>
      <w:pPr>
        <w:spacing w:line="600" w:lineRule="exact"/>
        <w:ind w:firstLine="640" w:firstLineChars="200"/>
        <w:outlineLvl w:val="9"/>
        <w:rPr>
          <w:rStyle w:val="15"/>
          <w:rFonts w:hint="eastAsia" w:ascii="仿宋" w:hAnsi="仿宋" w:eastAsia="仿宋"/>
          <w:b w:val="0"/>
          <w:bCs/>
          <w:color w:val="auto"/>
          <w:sz w:val="32"/>
          <w:szCs w:val="32"/>
        </w:rPr>
      </w:pPr>
      <w:r>
        <w:rPr>
          <w:rStyle w:val="15"/>
          <w:rFonts w:hint="eastAsia" w:ascii="仿宋" w:hAnsi="仿宋" w:eastAsia="仿宋"/>
          <w:b w:val="0"/>
          <w:bCs/>
          <w:color w:val="auto"/>
          <w:sz w:val="32"/>
          <w:szCs w:val="32"/>
          <w:lang w:val="en-US" w:eastAsia="zh-CN"/>
        </w:rPr>
        <w:t>8</w:t>
      </w:r>
      <w:r>
        <w:rPr>
          <w:rStyle w:val="15"/>
          <w:rFonts w:ascii="仿宋" w:hAnsi="仿宋" w:eastAsia="仿宋"/>
          <w:b w:val="0"/>
          <w:bCs/>
          <w:color w:val="auto"/>
          <w:sz w:val="32"/>
          <w:szCs w:val="32"/>
        </w:rPr>
        <w:t>.</w:t>
      </w:r>
      <w:r>
        <w:rPr>
          <w:rStyle w:val="15"/>
          <w:rFonts w:hint="eastAsia" w:ascii="仿宋" w:hAnsi="仿宋" w:eastAsia="仿宋"/>
          <w:b w:val="0"/>
          <w:bCs/>
          <w:color w:val="auto"/>
          <w:sz w:val="32"/>
          <w:szCs w:val="32"/>
        </w:rPr>
        <w:t>社会保障和就业（类</w:t>
      </w:r>
      <w:r>
        <w:rPr>
          <w:rStyle w:val="15"/>
          <w:rFonts w:hint="eastAsia" w:ascii="仿宋" w:hAnsi="仿宋" w:eastAsia="仿宋"/>
          <w:b w:val="0"/>
          <w:bCs/>
          <w:color w:val="auto"/>
          <w:sz w:val="32"/>
          <w:szCs w:val="32"/>
          <w:lang w:eastAsia="zh-CN"/>
        </w:rPr>
        <w:t>）</w:t>
      </w:r>
      <w:r>
        <w:rPr>
          <w:rStyle w:val="15"/>
          <w:rFonts w:hint="eastAsia" w:ascii="仿宋" w:hAnsi="仿宋" w:eastAsia="仿宋"/>
          <w:b w:val="0"/>
          <w:bCs/>
          <w:color w:val="auto"/>
          <w:sz w:val="32"/>
          <w:szCs w:val="32"/>
          <w:lang w:val="en-US" w:eastAsia="zh-CN"/>
        </w:rPr>
        <w:t>其他社会保障和就业支出</w:t>
      </w:r>
      <w:r>
        <w:rPr>
          <w:rStyle w:val="15"/>
          <w:rFonts w:hint="eastAsia" w:ascii="仿宋" w:hAnsi="仿宋" w:eastAsia="仿宋"/>
          <w:b w:val="0"/>
          <w:bCs/>
          <w:color w:val="auto"/>
          <w:sz w:val="32"/>
          <w:szCs w:val="32"/>
        </w:rPr>
        <w:t>（款）</w:t>
      </w:r>
      <w:r>
        <w:rPr>
          <w:rStyle w:val="15"/>
          <w:rFonts w:hint="eastAsia" w:ascii="仿宋" w:hAnsi="仿宋" w:eastAsia="仿宋"/>
          <w:b w:val="0"/>
          <w:bCs/>
          <w:color w:val="auto"/>
          <w:sz w:val="32"/>
          <w:szCs w:val="32"/>
          <w:lang w:val="en-US" w:eastAsia="zh-CN"/>
        </w:rPr>
        <w:t>其他社会保障和就业支出</w:t>
      </w:r>
      <w:r>
        <w:rPr>
          <w:rStyle w:val="15"/>
          <w:rFonts w:hint="eastAsia" w:ascii="仿宋" w:hAnsi="仿宋" w:eastAsia="仿宋"/>
          <w:b w:val="0"/>
          <w:bCs/>
          <w:color w:val="auto"/>
          <w:sz w:val="32"/>
          <w:szCs w:val="32"/>
        </w:rPr>
        <w:t>（项）</w:t>
      </w:r>
      <w:r>
        <w:rPr>
          <w:rStyle w:val="15"/>
          <w:rFonts w:ascii="仿宋" w:hAnsi="仿宋" w:eastAsia="仿宋"/>
          <w:b w:val="0"/>
          <w:bCs/>
          <w:color w:val="auto"/>
          <w:sz w:val="32"/>
          <w:szCs w:val="32"/>
        </w:rPr>
        <w:t xml:space="preserve">: </w:t>
      </w:r>
      <w:r>
        <w:rPr>
          <w:rStyle w:val="15"/>
          <w:rFonts w:hint="eastAsia" w:ascii="仿宋" w:hAnsi="仿宋" w:eastAsia="仿宋"/>
          <w:b w:val="0"/>
          <w:bCs/>
          <w:color w:val="auto"/>
          <w:sz w:val="32"/>
          <w:szCs w:val="32"/>
        </w:rPr>
        <w:t>支出决算为</w:t>
      </w:r>
      <w:r>
        <w:rPr>
          <w:rStyle w:val="15"/>
          <w:rFonts w:hint="eastAsia" w:ascii="仿宋" w:hAnsi="仿宋" w:eastAsia="仿宋"/>
          <w:b w:val="0"/>
          <w:bCs/>
          <w:color w:val="auto"/>
          <w:sz w:val="32"/>
          <w:szCs w:val="32"/>
          <w:lang w:val="en-US" w:eastAsia="zh-CN"/>
        </w:rPr>
        <w:t>1.86</w:t>
      </w:r>
      <w:r>
        <w:rPr>
          <w:rStyle w:val="15"/>
          <w:rFonts w:hint="eastAsia" w:ascii="仿宋" w:hAnsi="仿宋" w:eastAsia="仿宋"/>
          <w:b w:val="0"/>
          <w:bCs/>
          <w:color w:val="auto"/>
          <w:sz w:val="32"/>
          <w:szCs w:val="32"/>
        </w:rPr>
        <w:t>万元，完成预算</w:t>
      </w:r>
      <w:r>
        <w:rPr>
          <w:rStyle w:val="15"/>
          <w:rFonts w:hint="eastAsia" w:ascii="仿宋" w:hAnsi="仿宋" w:eastAsia="仿宋"/>
          <w:b w:val="0"/>
          <w:bCs/>
          <w:color w:val="auto"/>
          <w:sz w:val="32"/>
          <w:szCs w:val="32"/>
          <w:lang w:val="en-US" w:eastAsia="zh-CN"/>
        </w:rPr>
        <w:t>100</w:t>
      </w:r>
      <w:r>
        <w:rPr>
          <w:rStyle w:val="15"/>
          <w:rFonts w:ascii="仿宋" w:hAnsi="仿宋" w:eastAsia="仿宋"/>
          <w:b w:val="0"/>
          <w:bCs/>
          <w:color w:val="auto"/>
          <w:sz w:val="32"/>
          <w:szCs w:val="32"/>
        </w:rPr>
        <w:t>%</w:t>
      </w:r>
      <w:r>
        <w:rPr>
          <w:rStyle w:val="15"/>
          <w:rFonts w:hint="eastAsia" w:ascii="仿宋" w:hAnsi="仿宋" w:eastAsia="仿宋"/>
          <w:b w:val="0"/>
          <w:bCs/>
          <w:color w:val="auto"/>
          <w:sz w:val="32"/>
          <w:szCs w:val="32"/>
        </w:rPr>
        <w:t>，</w:t>
      </w:r>
      <w:r>
        <w:rPr>
          <w:rStyle w:val="15"/>
          <w:rFonts w:hint="eastAsia" w:ascii="仿宋" w:hAnsi="仿宋" w:eastAsia="仿宋"/>
          <w:b w:val="0"/>
          <w:bCs/>
          <w:color w:val="auto"/>
          <w:sz w:val="32"/>
          <w:szCs w:val="32"/>
          <w:lang w:val="en-US" w:eastAsia="zh-CN"/>
        </w:rPr>
        <w:t>无增减变动</w:t>
      </w:r>
      <w:r>
        <w:rPr>
          <w:rStyle w:val="15"/>
          <w:rFonts w:hint="eastAsia" w:ascii="仿宋" w:hAnsi="仿宋" w:eastAsia="仿宋"/>
          <w:b w:val="0"/>
          <w:bCs/>
          <w:color w:val="auto"/>
          <w:sz w:val="32"/>
          <w:szCs w:val="32"/>
        </w:rPr>
        <w:t>。</w:t>
      </w:r>
    </w:p>
    <w:p>
      <w:pPr>
        <w:spacing w:line="600" w:lineRule="exact"/>
        <w:ind w:firstLine="640" w:firstLineChars="200"/>
        <w:outlineLvl w:val="9"/>
        <w:rPr>
          <w:b w:val="0"/>
          <w:bCs/>
        </w:rPr>
      </w:pPr>
      <w:r>
        <w:rPr>
          <w:rStyle w:val="15"/>
          <w:rFonts w:hint="eastAsia" w:ascii="仿宋" w:hAnsi="仿宋" w:eastAsia="仿宋"/>
          <w:b w:val="0"/>
          <w:bCs/>
          <w:color w:val="auto"/>
          <w:sz w:val="32"/>
          <w:szCs w:val="32"/>
          <w:lang w:val="en-US" w:eastAsia="zh-CN"/>
        </w:rPr>
        <w:t>9</w:t>
      </w:r>
      <w:r>
        <w:rPr>
          <w:rStyle w:val="15"/>
          <w:rFonts w:ascii="仿宋" w:hAnsi="仿宋" w:eastAsia="仿宋"/>
          <w:b w:val="0"/>
          <w:bCs/>
          <w:color w:val="auto"/>
          <w:sz w:val="32"/>
          <w:szCs w:val="32"/>
        </w:rPr>
        <w:t>.</w:t>
      </w:r>
      <w:r>
        <w:rPr>
          <w:rStyle w:val="15"/>
          <w:rFonts w:hint="eastAsia" w:ascii="仿宋" w:hAnsi="仿宋" w:eastAsia="仿宋"/>
          <w:b w:val="0"/>
          <w:bCs/>
          <w:color w:val="auto"/>
          <w:sz w:val="32"/>
          <w:szCs w:val="32"/>
          <w:lang w:val="en-US" w:eastAsia="zh-CN"/>
        </w:rPr>
        <w:t>卫生健康支出</w:t>
      </w:r>
      <w:r>
        <w:rPr>
          <w:rStyle w:val="15"/>
          <w:rFonts w:hint="eastAsia" w:ascii="仿宋" w:hAnsi="仿宋" w:eastAsia="仿宋"/>
          <w:b w:val="0"/>
          <w:bCs/>
          <w:color w:val="auto"/>
          <w:sz w:val="32"/>
          <w:szCs w:val="32"/>
        </w:rPr>
        <w:t>（类</w:t>
      </w:r>
      <w:r>
        <w:rPr>
          <w:rStyle w:val="15"/>
          <w:rFonts w:hint="eastAsia" w:ascii="仿宋" w:hAnsi="仿宋" w:eastAsia="仿宋"/>
          <w:b w:val="0"/>
          <w:bCs/>
          <w:color w:val="auto"/>
          <w:sz w:val="32"/>
          <w:szCs w:val="32"/>
          <w:lang w:eastAsia="zh-CN"/>
        </w:rPr>
        <w:t>）</w:t>
      </w:r>
      <w:r>
        <w:rPr>
          <w:rStyle w:val="15"/>
          <w:rFonts w:hint="eastAsia" w:ascii="仿宋" w:hAnsi="仿宋" w:eastAsia="仿宋"/>
          <w:b w:val="0"/>
          <w:bCs/>
          <w:color w:val="auto"/>
          <w:sz w:val="32"/>
          <w:szCs w:val="32"/>
          <w:lang w:val="en-US" w:eastAsia="zh-CN"/>
        </w:rPr>
        <w:t>行政事业单位医疗</w:t>
      </w:r>
      <w:r>
        <w:rPr>
          <w:rStyle w:val="15"/>
          <w:rFonts w:hint="eastAsia" w:ascii="仿宋" w:hAnsi="仿宋" w:eastAsia="仿宋"/>
          <w:b w:val="0"/>
          <w:bCs/>
          <w:color w:val="auto"/>
          <w:sz w:val="32"/>
          <w:szCs w:val="32"/>
        </w:rPr>
        <w:t>（款）</w:t>
      </w:r>
      <w:r>
        <w:rPr>
          <w:rStyle w:val="15"/>
          <w:rFonts w:hint="eastAsia" w:ascii="仿宋" w:hAnsi="仿宋" w:eastAsia="仿宋"/>
          <w:b w:val="0"/>
          <w:bCs/>
          <w:color w:val="auto"/>
          <w:sz w:val="32"/>
          <w:szCs w:val="32"/>
          <w:lang w:val="en-US" w:eastAsia="zh-CN"/>
        </w:rPr>
        <w:t>事业单位医疗</w:t>
      </w:r>
      <w:r>
        <w:rPr>
          <w:rStyle w:val="15"/>
          <w:rFonts w:hint="eastAsia" w:ascii="仿宋" w:hAnsi="仿宋" w:eastAsia="仿宋"/>
          <w:b w:val="0"/>
          <w:bCs/>
          <w:color w:val="auto"/>
          <w:sz w:val="32"/>
          <w:szCs w:val="32"/>
        </w:rPr>
        <w:t>（项）</w:t>
      </w:r>
      <w:r>
        <w:rPr>
          <w:rStyle w:val="15"/>
          <w:rFonts w:ascii="仿宋" w:hAnsi="仿宋" w:eastAsia="仿宋"/>
          <w:b w:val="0"/>
          <w:bCs/>
          <w:color w:val="auto"/>
          <w:sz w:val="32"/>
          <w:szCs w:val="32"/>
        </w:rPr>
        <w:t xml:space="preserve">: </w:t>
      </w:r>
      <w:r>
        <w:rPr>
          <w:rStyle w:val="15"/>
          <w:rFonts w:hint="eastAsia" w:ascii="仿宋" w:hAnsi="仿宋" w:eastAsia="仿宋"/>
          <w:b w:val="0"/>
          <w:bCs/>
          <w:color w:val="auto"/>
          <w:sz w:val="32"/>
          <w:szCs w:val="32"/>
        </w:rPr>
        <w:t>支出决算为</w:t>
      </w:r>
      <w:r>
        <w:rPr>
          <w:rStyle w:val="15"/>
          <w:rFonts w:hint="eastAsia" w:ascii="仿宋" w:hAnsi="仿宋" w:eastAsia="仿宋"/>
          <w:b w:val="0"/>
          <w:bCs/>
          <w:color w:val="auto"/>
          <w:sz w:val="32"/>
          <w:szCs w:val="32"/>
          <w:lang w:val="en-US" w:eastAsia="zh-CN"/>
        </w:rPr>
        <w:t>28.98</w:t>
      </w:r>
      <w:r>
        <w:rPr>
          <w:rStyle w:val="15"/>
          <w:rFonts w:hint="eastAsia" w:ascii="仿宋" w:hAnsi="仿宋" w:eastAsia="仿宋"/>
          <w:b w:val="0"/>
          <w:bCs/>
          <w:color w:val="auto"/>
          <w:sz w:val="32"/>
          <w:szCs w:val="32"/>
        </w:rPr>
        <w:t>万元，完成预算</w:t>
      </w:r>
      <w:r>
        <w:rPr>
          <w:rStyle w:val="15"/>
          <w:rFonts w:hint="eastAsia" w:ascii="仿宋" w:hAnsi="仿宋" w:eastAsia="仿宋"/>
          <w:b w:val="0"/>
          <w:bCs/>
          <w:color w:val="auto"/>
          <w:sz w:val="32"/>
          <w:szCs w:val="32"/>
          <w:lang w:val="en-US" w:eastAsia="zh-CN"/>
        </w:rPr>
        <w:t>100</w:t>
      </w:r>
      <w:r>
        <w:rPr>
          <w:rStyle w:val="15"/>
          <w:rFonts w:ascii="仿宋" w:hAnsi="仿宋" w:eastAsia="仿宋"/>
          <w:b w:val="0"/>
          <w:bCs/>
          <w:color w:val="auto"/>
          <w:sz w:val="32"/>
          <w:szCs w:val="32"/>
        </w:rPr>
        <w:t>%</w:t>
      </w:r>
      <w:r>
        <w:rPr>
          <w:rStyle w:val="15"/>
          <w:rFonts w:hint="eastAsia" w:ascii="仿宋" w:hAnsi="仿宋" w:eastAsia="仿宋"/>
          <w:b w:val="0"/>
          <w:bCs/>
          <w:color w:val="auto"/>
          <w:sz w:val="32"/>
          <w:szCs w:val="32"/>
        </w:rPr>
        <w:t>，</w:t>
      </w:r>
      <w:r>
        <w:rPr>
          <w:rStyle w:val="15"/>
          <w:rFonts w:hint="eastAsia" w:ascii="仿宋" w:hAnsi="仿宋" w:eastAsia="仿宋"/>
          <w:b w:val="0"/>
          <w:bCs/>
          <w:color w:val="auto"/>
          <w:sz w:val="32"/>
          <w:szCs w:val="32"/>
          <w:lang w:val="en-US" w:eastAsia="zh-CN"/>
        </w:rPr>
        <w:t>无增减变动</w:t>
      </w:r>
      <w:r>
        <w:rPr>
          <w:rStyle w:val="15"/>
          <w:rFonts w:hint="eastAsia" w:ascii="仿宋" w:hAnsi="仿宋" w:eastAsia="仿宋"/>
          <w:b w:val="0"/>
          <w:bCs/>
          <w:color w:val="auto"/>
          <w:sz w:val="32"/>
          <w:szCs w:val="32"/>
        </w:rPr>
        <w:t>。</w:t>
      </w:r>
    </w:p>
    <w:p>
      <w:pPr>
        <w:spacing w:line="600" w:lineRule="exact"/>
        <w:ind w:firstLine="640" w:firstLineChars="200"/>
        <w:outlineLvl w:val="9"/>
        <w:rPr>
          <w:rFonts w:ascii="仿宋" w:hAnsi="仿宋" w:eastAsia="仿宋"/>
          <w:b w:val="0"/>
          <w:bCs/>
          <w:color w:val="auto"/>
          <w:sz w:val="32"/>
          <w:szCs w:val="32"/>
        </w:rPr>
      </w:pPr>
      <w:r>
        <w:rPr>
          <w:rStyle w:val="15"/>
          <w:rFonts w:hint="eastAsia" w:ascii="仿宋" w:hAnsi="仿宋" w:eastAsia="仿宋"/>
          <w:b w:val="0"/>
          <w:bCs/>
          <w:color w:val="auto"/>
          <w:sz w:val="32"/>
          <w:szCs w:val="32"/>
          <w:lang w:val="en-US" w:eastAsia="zh-CN"/>
        </w:rPr>
        <w:t>10</w:t>
      </w:r>
      <w:r>
        <w:rPr>
          <w:rStyle w:val="15"/>
          <w:rFonts w:ascii="仿宋" w:hAnsi="仿宋" w:eastAsia="仿宋"/>
          <w:b w:val="0"/>
          <w:bCs/>
          <w:color w:val="auto"/>
          <w:sz w:val="32"/>
          <w:szCs w:val="32"/>
        </w:rPr>
        <w:t>.</w:t>
      </w:r>
      <w:r>
        <w:rPr>
          <w:rStyle w:val="15"/>
          <w:rFonts w:hint="eastAsia" w:ascii="仿宋" w:hAnsi="仿宋" w:eastAsia="仿宋"/>
          <w:b w:val="0"/>
          <w:bCs/>
          <w:color w:val="auto"/>
          <w:sz w:val="32"/>
          <w:szCs w:val="32"/>
          <w:lang w:val="en-US" w:eastAsia="zh-CN"/>
        </w:rPr>
        <w:t>住房保障支出</w:t>
      </w:r>
      <w:r>
        <w:rPr>
          <w:rStyle w:val="15"/>
          <w:rFonts w:hint="eastAsia" w:ascii="仿宋" w:hAnsi="仿宋" w:eastAsia="仿宋"/>
          <w:b w:val="0"/>
          <w:bCs/>
          <w:color w:val="auto"/>
          <w:sz w:val="32"/>
          <w:szCs w:val="32"/>
        </w:rPr>
        <w:t>（类）</w:t>
      </w:r>
      <w:r>
        <w:rPr>
          <w:rStyle w:val="15"/>
          <w:rFonts w:hint="eastAsia" w:ascii="仿宋" w:hAnsi="仿宋" w:eastAsia="仿宋"/>
          <w:b w:val="0"/>
          <w:bCs/>
          <w:color w:val="auto"/>
          <w:sz w:val="32"/>
          <w:szCs w:val="32"/>
          <w:lang w:val="en-US" w:eastAsia="zh-CN"/>
        </w:rPr>
        <w:t>住房改革支出</w:t>
      </w:r>
      <w:r>
        <w:rPr>
          <w:rStyle w:val="15"/>
          <w:rFonts w:hint="eastAsia" w:ascii="仿宋" w:hAnsi="仿宋" w:eastAsia="仿宋"/>
          <w:b w:val="0"/>
          <w:bCs/>
          <w:color w:val="auto"/>
          <w:sz w:val="32"/>
          <w:szCs w:val="32"/>
        </w:rPr>
        <w:t>（款）</w:t>
      </w:r>
      <w:r>
        <w:rPr>
          <w:rStyle w:val="15"/>
          <w:rFonts w:hint="eastAsia" w:ascii="仿宋" w:hAnsi="仿宋" w:eastAsia="仿宋"/>
          <w:b w:val="0"/>
          <w:bCs/>
          <w:color w:val="auto"/>
          <w:sz w:val="32"/>
          <w:szCs w:val="32"/>
          <w:lang w:val="en-US" w:eastAsia="zh-CN"/>
        </w:rPr>
        <w:t>住房公积金</w:t>
      </w:r>
      <w:r>
        <w:rPr>
          <w:rStyle w:val="15"/>
          <w:rFonts w:hint="eastAsia" w:ascii="仿宋" w:hAnsi="仿宋" w:eastAsia="仿宋"/>
          <w:b w:val="0"/>
          <w:bCs/>
          <w:color w:val="auto"/>
          <w:sz w:val="32"/>
          <w:szCs w:val="32"/>
        </w:rPr>
        <w:t>（项）</w:t>
      </w:r>
      <w:r>
        <w:rPr>
          <w:rStyle w:val="15"/>
          <w:rFonts w:ascii="仿宋" w:hAnsi="仿宋" w:eastAsia="仿宋"/>
          <w:b w:val="0"/>
          <w:bCs/>
          <w:color w:val="auto"/>
          <w:sz w:val="32"/>
          <w:szCs w:val="32"/>
        </w:rPr>
        <w:t>:</w:t>
      </w:r>
      <w:r>
        <w:rPr>
          <w:rStyle w:val="15"/>
          <w:rFonts w:hint="eastAsia" w:ascii="仿宋" w:hAnsi="仿宋" w:eastAsia="仿宋"/>
          <w:b w:val="0"/>
          <w:bCs/>
          <w:color w:val="auto"/>
          <w:sz w:val="32"/>
          <w:szCs w:val="32"/>
        </w:rPr>
        <w:t>支出决算为</w:t>
      </w:r>
      <w:r>
        <w:rPr>
          <w:rStyle w:val="15"/>
          <w:rFonts w:hint="eastAsia" w:ascii="仿宋" w:hAnsi="仿宋" w:eastAsia="仿宋"/>
          <w:b w:val="0"/>
          <w:bCs/>
          <w:color w:val="auto"/>
          <w:sz w:val="32"/>
          <w:szCs w:val="32"/>
          <w:lang w:val="en-US" w:eastAsia="zh-CN"/>
        </w:rPr>
        <w:t>39.55</w:t>
      </w:r>
      <w:r>
        <w:rPr>
          <w:rStyle w:val="15"/>
          <w:rFonts w:hint="eastAsia" w:ascii="仿宋" w:hAnsi="仿宋" w:eastAsia="仿宋"/>
          <w:b w:val="0"/>
          <w:bCs/>
          <w:color w:val="auto"/>
          <w:sz w:val="32"/>
          <w:szCs w:val="32"/>
        </w:rPr>
        <w:t>万元，完成预算</w:t>
      </w:r>
      <w:r>
        <w:rPr>
          <w:rStyle w:val="15"/>
          <w:rFonts w:hint="eastAsia" w:ascii="仿宋" w:hAnsi="仿宋" w:eastAsia="仿宋"/>
          <w:b w:val="0"/>
          <w:bCs/>
          <w:color w:val="auto"/>
          <w:sz w:val="32"/>
          <w:szCs w:val="32"/>
          <w:lang w:val="en-US" w:eastAsia="zh-CN"/>
        </w:rPr>
        <w:t>100</w:t>
      </w:r>
      <w:r>
        <w:rPr>
          <w:rStyle w:val="15"/>
          <w:rFonts w:ascii="仿宋" w:hAnsi="仿宋" w:eastAsia="仿宋"/>
          <w:b w:val="0"/>
          <w:bCs/>
          <w:color w:val="auto"/>
          <w:sz w:val="32"/>
          <w:szCs w:val="32"/>
        </w:rPr>
        <w:t>%</w:t>
      </w:r>
      <w:r>
        <w:rPr>
          <w:rStyle w:val="15"/>
          <w:rFonts w:hint="eastAsia" w:ascii="仿宋" w:hAnsi="仿宋" w:eastAsia="仿宋"/>
          <w:b w:val="0"/>
          <w:bCs/>
          <w:color w:val="auto"/>
          <w:sz w:val="32"/>
          <w:szCs w:val="32"/>
        </w:rPr>
        <w:t>，</w:t>
      </w:r>
      <w:r>
        <w:rPr>
          <w:rStyle w:val="15"/>
          <w:rFonts w:hint="eastAsia" w:ascii="仿宋" w:hAnsi="仿宋" w:eastAsia="仿宋"/>
          <w:b w:val="0"/>
          <w:bCs/>
          <w:color w:val="auto"/>
          <w:sz w:val="32"/>
          <w:szCs w:val="32"/>
          <w:lang w:val="en-US" w:eastAsia="zh-CN"/>
        </w:rPr>
        <w:t>无增减变动</w:t>
      </w:r>
      <w:r>
        <w:rPr>
          <w:rStyle w:val="15"/>
          <w:rFonts w:hint="eastAsia" w:ascii="仿宋" w:hAnsi="仿宋" w:eastAsia="仿宋"/>
          <w:b w:val="0"/>
          <w:bCs/>
          <w:color w:val="auto"/>
          <w:sz w:val="32"/>
          <w:szCs w:val="32"/>
        </w:rPr>
        <w:t>。</w:t>
      </w:r>
    </w:p>
    <w:p>
      <w:pPr>
        <w:tabs>
          <w:tab w:val="right" w:pos="8306"/>
        </w:tabs>
        <w:spacing w:line="600" w:lineRule="exact"/>
        <w:ind w:firstLine="640"/>
        <w:outlineLvl w:val="1"/>
        <w:rPr>
          <w:rStyle w:val="29"/>
          <w:color w:val="auto"/>
        </w:rPr>
      </w:pPr>
      <w:bookmarkStart w:id="48" w:name="_Toc15396608"/>
      <w:bookmarkStart w:id="49" w:name="_Toc11456"/>
      <w:bookmarkStart w:id="50" w:name="_Toc15377214"/>
      <w:r>
        <w:rPr>
          <w:rFonts w:hint="eastAsia" w:ascii="黑体" w:eastAsia="黑体"/>
          <w:color w:val="auto"/>
          <w:sz w:val="32"/>
          <w:szCs w:val="32"/>
        </w:rPr>
        <w:t>六</w:t>
      </w:r>
      <w:r>
        <w:rPr>
          <w:rFonts w:hint="eastAsia" w:ascii="黑体" w:eastAsia="黑体"/>
          <w:b/>
          <w:color w:val="auto"/>
          <w:sz w:val="32"/>
          <w:szCs w:val="32"/>
        </w:rPr>
        <w:t>、</w:t>
      </w:r>
      <w:r>
        <w:rPr>
          <w:rFonts w:hint="eastAsia" w:ascii="黑体" w:hAnsi="黑体" w:eastAsia="黑体"/>
          <w:b/>
          <w:color w:val="auto"/>
          <w:sz w:val="32"/>
          <w:szCs w:val="32"/>
        </w:rPr>
        <w:t>一</w:t>
      </w:r>
      <w:r>
        <w:rPr>
          <w:rStyle w:val="29"/>
          <w:rFonts w:hint="eastAsia" w:ascii="黑体" w:hAnsi="黑体" w:eastAsia="黑体"/>
          <w:b w:val="0"/>
          <w:color w:val="auto"/>
        </w:rPr>
        <w:t>般公共预算财政拨款基本支出决算情况说明</w:t>
      </w:r>
      <w:bookmarkEnd w:id="48"/>
      <w:bookmarkEnd w:id="49"/>
      <w:bookmarkEnd w:id="50"/>
      <w:r>
        <w:rPr>
          <w:rStyle w:val="29"/>
          <w:rFonts w:ascii="黑体" w:hAnsi="黑体" w:eastAsia="黑体"/>
          <w:b w:val="0"/>
          <w:color w:val="auto"/>
        </w:rPr>
        <w:tab/>
      </w:r>
    </w:p>
    <w:p>
      <w:pPr>
        <w:spacing w:line="600" w:lineRule="exact"/>
        <w:ind w:firstLine="645"/>
        <w:rPr>
          <w:rFonts w:ascii="仿宋" w:hAnsi="仿宋" w:eastAsia="仿宋"/>
          <w:color w:val="auto"/>
          <w:sz w:val="32"/>
          <w:szCs w:val="32"/>
        </w:rPr>
      </w:pPr>
      <w:r>
        <w:rPr>
          <w:rFonts w:ascii="仿宋" w:hAnsi="仿宋" w:eastAsia="仿宋"/>
          <w:color w:val="auto"/>
          <w:sz w:val="32"/>
          <w:szCs w:val="32"/>
        </w:rPr>
        <w:t>20</w:t>
      </w:r>
      <w:r>
        <w:rPr>
          <w:rFonts w:hint="eastAsia" w:ascii="仿宋" w:hAnsi="仿宋" w:eastAsia="仿宋"/>
          <w:color w:val="auto"/>
          <w:sz w:val="32"/>
          <w:szCs w:val="32"/>
          <w:lang w:val="en-US" w:eastAsia="zh-CN"/>
        </w:rPr>
        <w:t>20</w:t>
      </w:r>
      <w:r>
        <w:rPr>
          <w:rFonts w:hint="eastAsia" w:ascii="仿宋" w:hAnsi="仿宋" w:eastAsia="仿宋"/>
          <w:color w:val="auto"/>
          <w:sz w:val="32"/>
          <w:szCs w:val="32"/>
        </w:rPr>
        <w:t>年一般公共预算财政拨款基本支出</w:t>
      </w:r>
      <w:r>
        <w:rPr>
          <w:rFonts w:hint="eastAsia" w:ascii="仿宋" w:hAnsi="仿宋" w:eastAsia="仿宋"/>
          <w:color w:val="auto"/>
          <w:sz w:val="32"/>
          <w:szCs w:val="32"/>
          <w:lang w:val="en-US" w:eastAsia="zh-CN"/>
        </w:rPr>
        <w:t>616.54</w:t>
      </w:r>
      <w:r>
        <w:rPr>
          <w:rFonts w:hint="eastAsia" w:ascii="仿宋" w:hAnsi="仿宋" w:eastAsia="仿宋"/>
          <w:color w:val="auto"/>
          <w:sz w:val="32"/>
          <w:szCs w:val="32"/>
        </w:rPr>
        <w:t>万元</w:t>
      </w:r>
      <w:r>
        <w:rPr>
          <w:rFonts w:hint="eastAsia" w:ascii="仿宋" w:hAnsi="仿宋" w:eastAsia="仿宋"/>
          <w:color w:val="auto"/>
          <w:sz w:val="32"/>
          <w:szCs w:val="32"/>
          <w:lang w:eastAsia="zh-CN"/>
        </w:rPr>
        <w:t>，</w:t>
      </w:r>
      <w:r>
        <w:rPr>
          <w:rFonts w:hint="eastAsia" w:ascii="仿宋" w:hAnsi="仿宋" w:eastAsia="仿宋"/>
          <w:color w:val="auto"/>
          <w:sz w:val="32"/>
          <w:szCs w:val="32"/>
        </w:rPr>
        <w:t>其中：</w:t>
      </w:r>
    </w:p>
    <w:p>
      <w:pPr>
        <w:spacing w:line="600" w:lineRule="exact"/>
        <w:ind w:firstLine="645"/>
        <w:rPr>
          <w:rFonts w:hint="eastAsia" w:ascii="仿宋" w:hAnsi="仿宋" w:eastAsia="仿宋"/>
          <w:color w:val="auto"/>
          <w:sz w:val="32"/>
          <w:szCs w:val="32"/>
          <w:lang w:eastAsia="zh-CN"/>
        </w:rPr>
      </w:pPr>
      <w:r>
        <w:rPr>
          <w:rFonts w:hint="eastAsia" w:ascii="仿宋" w:hAnsi="仿宋" w:eastAsia="仿宋"/>
          <w:color w:val="auto"/>
          <w:sz w:val="32"/>
          <w:szCs w:val="32"/>
        </w:rPr>
        <w:t>人员经费</w:t>
      </w:r>
      <w:r>
        <w:rPr>
          <w:rFonts w:hint="eastAsia" w:ascii="仿宋" w:hAnsi="仿宋" w:eastAsia="仿宋"/>
          <w:color w:val="auto"/>
          <w:sz w:val="32"/>
          <w:szCs w:val="32"/>
          <w:lang w:val="en-US" w:eastAsia="zh-CN"/>
        </w:rPr>
        <w:t>438.59</w:t>
      </w:r>
      <w:r>
        <w:rPr>
          <w:rFonts w:hint="eastAsia" w:ascii="仿宋" w:hAnsi="仿宋" w:eastAsia="仿宋"/>
          <w:color w:val="auto"/>
          <w:sz w:val="32"/>
          <w:szCs w:val="32"/>
        </w:rPr>
        <w:t>万元，主要包括：基本工资、津贴补贴、奖金、绩效工资、机关事业单位基本养老保险缴费、职业年金缴费、</w:t>
      </w:r>
      <w:r>
        <w:rPr>
          <w:rFonts w:hint="eastAsia" w:ascii="仿宋" w:hAnsi="仿宋" w:eastAsia="仿宋"/>
          <w:color w:val="auto"/>
          <w:sz w:val="32"/>
          <w:szCs w:val="32"/>
          <w:lang w:val="en-US" w:eastAsia="zh-CN"/>
        </w:rPr>
        <w:t>基本医疗保险缴费、</w:t>
      </w:r>
      <w:r>
        <w:rPr>
          <w:rFonts w:hint="eastAsia" w:ascii="仿宋" w:hAnsi="仿宋" w:eastAsia="仿宋"/>
          <w:color w:val="auto"/>
          <w:sz w:val="32"/>
          <w:szCs w:val="32"/>
        </w:rPr>
        <w:t>其他社会保障缴费、其他工资福利支出、生活补助、住房公积金等。</w:t>
      </w:r>
    </w:p>
    <w:p>
      <w:pPr>
        <w:spacing w:line="600" w:lineRule="exact"/>
        <w:ind w:firstLine="645"/>
        <w:rPr>
          <w:rFonts w:ascii="仿宋" w:hAnsi="仿宋" w:eastAsia="仿宋"/>
          <w:b/>
          <w:color w:val="auto"/>
          <w:sz w:val="32"/>
          <w:szCs w:val="32"/>
        </w:rPr>
      </w:pPr>
      <w:r>
        <w:rPr>
          <w:rFonts w:hint="eastAsia" w:ascii="仿宋" w:hAnsi="仿宋" w:eastAsia="仿宋"/>
          <w:color w:val="auto"/>
          <w:sz w:val="32"/>
          <w:szCs w:val="32"/>
        </w:rPr>
        <w:t>公用经费</w:t>
      </w:r>
      <w:r>
        <w:rPr>
          <w:rFonts w:hint="eastAsia" w:ascii="仿宋" w:hAnsi="仿宋" w:eastAsia="仿宋"/>
          <w:color w:val="auto"/>
          <w:sz w:val="32"/>
          <w:szCs w:val="32"/>
          <w:lang w:val="en-US" w:eastAsia="zh-CN"/>
        </w:rPr>
        <w:t>177.95</w:t>
      </w:r>
      <w:r>
        <w:rPr>
          <w:rFonts w:hint="eastAsia" w:ascii="仿宋" w:hAnsi="仿宋" w:eastAsia="仿宋"/>
          <w:color w:val="auto"/>
          <w:sz w:val="32"/>
          <w:szCs w:val="32"/>
        </w:rPr>
        <w:t>万元，主要包括：办公费、印刷费、水费、电费、邮电费、差旅费、维修（护）费、培训费、公务接待费、劳务费、委托业务费、工会经费、福利费、公务用车运行维护费、其他商品和服务支出等。</w:t>
      </w:r>
    </w:p>
    <w:p>
      <w:pPr>
        <w:spacing w:line="600" w:lineRule="exact"/>
        <w:ind w:firstLine="640"/>
        <w:outlineLvl w:val="1"/>
        <w:rPr>
          <w:rStyle w:val="29"/>
          <w:rFonts w:ascii="黑体" w:hAnsi="黑体" w:eastAsia="黑体"/>
          <w:b w:val="0"/>
          <w:color w:val="auto"/>
        </w:rPr>
      </w:pPr>
      <w:bookmarkStart w:id="51" w:name="_Toc15377215"/>
      <w:bookmarkStart w:id="52" w:name="_Toc14660"/>
      <w:bookmarkStart w:id="53" w:name="_Toc15396609"/>
      <w:r>
        <w:rPr>
          <w:rFonts w:hint="eastAsia" w:ascii="黑体" w:eastAsia="黑体"/>
          <w:color w:val="auto"/>
          <w:sz w:val="32"/>
          <w:szCs w:val="32"/>
        </w:rPr>
        <w:t>七、</w:t>
      </w:r>
      <w:r>
        <w:rPr>
          <w:rStyle w:val="29"/>
          <w:rFonts w:hint="eastAsia" w:ascii="黑体" w:hAnsi="黑体" w:eastAsia="黑体"/>
          <w:color w:val="auto"/>
        </w:rPr>
        <w:t>“</w:t>
      </w:r>
      <w:r>
        <w:rPr>
          <w:rStyle w:val="29"/>
          <w:rFonts w:hint="eastAsia" w:ascii="黑体" w:hAnsi="黑体" w:eastAsia="黑体"/>
          <w:b w:val="0"/>
          <w:color w:val="auto"/>
        </w:rPr>
        <w:t>三公”经费财政拨款支出决算情况说明</w:t>
      </w:r>
      <w:bookmarkEnd w:id="51"/>
      <w:bookmarkEnd w:id="52"/>
      <w:bookmarkEnd w:id="53"/>
    </w:p>
    <w:p>
      <w:pPr>
        <w:spacing w:line="600" w:lineRule="exact"/>
        <w:ind w:firstLine="640"/>
        <w:outlineLvl w:val="2"/>
        <w:rPr>
          <w:rFonts w:ascii="仿宋" w:hAnsi="仿宋" w:eastAsia="仿宋"/>
          <w:b/>
          <w:color w:val="auto"/>
          <w:sz w:val="32"/>
          <w:szCs w:val="32"/>
        </w:rPr>
      </w:pPr>
      <w:bookmarkStart w:id="54" w:name="_Toc14134"/>
      <w:bookmarkStart w:id="55" w:name="_Toc16829"/>
      <w:bookmarkStart w:id="56" w:name="_Toc15377216"/>
      <w:r>
        <w:rPr>
          <w:rFonts w:hint="eastAsia" w:ascii="仿宋" w:hAnsi="仿宋" w:eastAsia="仿宋"/>
          <w:b/>
          <w:color w:val="auto"/>
          <w:sz w:val="32"/>
          <w:szCs w:val="32"/>
        </w:rPr>
        <w:t>（一）“三公”经费财政拨款支出决算总体情况说明</w:t>
      </w:r>
      <w:bookmarkEnd w:id="54"/>
      <w:bookmarkEnd w:id="55"/>
      <w:bookmarkEnd w:id="56"/>
    </w:p>
    <w:p>
      <w:pPr>
        <w:spacing w:line="600" w:lineRule="exact"/>
        <w:ind w:firstLine="640"/>
        <w:rPr>
          <w:rFonts w:ascii="仿宋" w:hAnsi="仿宋" w:eastAsia="仿宋"/>
          <w:color w:val="auto"/>
          <w:sz w:val="32"/>
          <w:szCs w:val="32"/>
        </w:rPr>
      </w:pPr>
      <w:r>
        <w:rPr>
          <w:rFonts w:ascii="仿宋" w:hAnsi="仿宋" w:eastAsia="仿宋"/>
          <w:color w:val="auto"/>
          <w:sz w:val="32"/>
          <w:szCs w:val="32"/>
        </w:rPr>
        <w:t>20</w:t>
      </w:r>
      <w:r>
        <w:rPr>
          <w:rFonts w:hint="eastAsia" w:ascii="仿宋" w:hAnsi="仿宋" w:eastAsia="仿宋"/>
          <w:color w:val="auto"/>
          <w:sz w:val="32"/>
          <w:szCs w:val="32"/>
          <w:lang w:val="en-US" w:eastAsia="zh-CN"/>
        </w:rPr>
        <w:t>20</w:t>
      </w:r>
      <w:r>
        <w:rPr>
          <w:rFonts w:hint="eastAsia" w:ascii="仿宋" w:hAnsi="仿宋" w:eastAsia="仿宋"/>
          <w:color w:val="auto"/>
          <w:sz w:val="32"/>
          <w:szCs w:val="32"/>
        </w:rPr>
        <w:t>年“三公”经费财政拨款支出决算为</w:t>
      </w:r>
      <w:r>
        <w:rPr>
          <w:rFonts w:hint="eastAsia" w:ascii="仿宋" w:hAnsi="仿宋" w:eastAsia="仿宋"/>
          <w:color w:val="auto"/>
          <w:sz w:val="32"/>
          <w:szCs w:val="32"/>
          <w:lang w:val="en-US" w:eastAsia="zh-CN"/>
        </w:rPr>
        <w:t>0.46</w:t>
      </w:r>
      <w:r>
        <w:rPr>
          <w:rFonts w:hint="eastAsia" w:ascii="仿宋" w:hAnsi="仿宋" w:eastAsia="仿宋"/>
          <w:color w:val="auto"/>
          <w:sz w:val="32"/>
          <w:szCs w:val="32"/>
        </w:rPr>
        <w:t>万元，完成预算</w:t>
      </w:r>
      <w:r>
        <w:rPr>
          <w:rFonts w:hint="eastAsia" w:ascii="仿宋" w:hAnsi="仿宋" w:eastAsia="仿宋"/>
          <w:color w:val="auto"/>
          <w:sz w:val="32"/>
          <w:szCs w:val="32"/>
          <w:lang w:val="en-US" w:eastAsia="zh-CN"/>
        </w:rPr>
        <w:t>41.82</w:t>
      </w:r>
      <w:r>
        <w:rPr>
          <w:rFonts w:ascii="仿宋" w:hAnsi="仿宋" w:eastAsia="仿宋"/>
          <w:color w:val="auto"/>
          <w:sz w:val="32"/>
          <w:szCs w:val="32"/>
        </w:rPr>
        <w:t>%</w:t>
      </w:r>
      <w:r>
        <w:rPr>
          <w:rFonts w:hint="eastAsia" w:ascii="仿宋" w:hAnsi="仿宋" w:eastAsia="仿宋"/>
          <w:color w:val="auto"/>
          <w:sz w:val="32"/>
          <w:szCs w:val="32"/>
        </w:rPr>
        <w:t>，决算数小于预算数的主要原因</w:t>
      </w:r>
      <w:r>
        <w:rPr>
          <w:rFonts w:hint="eastAsia" w:ascii="仿宋" w:hAnsi="仿宋" w:eastAsia="仿宋"/>
          <w:color w:val="auto"/>
          <w:sz w:val="32"/>
          <w:szCs w:val="32"/>
          <w:lang w:val="en-US" w:eastAsia="zh-CN"/>
        </w:rPr>
        <w:t>是公务接待的减少</w:t>
      </w:r>
      <w:r>
        <w:rPr>
          <w:rFonts w:hint="eastAsia" w:ascii="仿宋" w:hAnsi="仿宋" w:eastAsia="仿宋"/>
          <w:color w:val="auto"/>
          <w:sz w:val="32"/>
          <w:szCs w:val="32"/>
        </w:rPr>
        <w:t>。</w:t>
      </w:r>
    </w:p>
    <w:p>
      <w:pPr>
        <w:spacing w:line="600" w:lineRule="exact"/>
        <w:ind w:firstLine="640"/>
        <w:outlineLvl w:val="2"/>
        <w:rPr>
          <w:rFonts w:ascii="仿宋" w:hAnsi="仿宋" w:eastAsia="仿宋"/>
          <w:b/>
          <w:color w:val="auto"/>
          <w:sz w:val="32"/>
          <w:szCs w:val="32"/>
        </w:rPr>
      </w:pPr>
      <w:bookmarkStart w:id="57" w:name="_Toc15377217"/>
      <w:bookmarkStart w:id="58" w:name="_Toc25712"/>
      <w:bookmarkStart w:id="59" w:name="_Toc5172"/>
      <w:r>
        <w:rPr>
          <w:rFonts w:hint="eastAsia" w:ascii="仿宋" w:hAnsi="仿宋" w:eastAsia="仿宋"/>
          <w:b/>
          <w:color w:val="auto"/>
          <w:sz w:val="32"/>
          <w:szCs w:val="32"/>
        </w:rPr>
        <w:t>（二）“三公”经费财政拨款支出决算具体情况说明</w:t>
      </w:r>
      <w:bookmarkEnd w:id="57"/>
      <w:bookmarkEnd w:id="58"/>
      <w:bookmarkEnd w:id="59"/>
    </w:p>
    <w:p>
      <w:pPr>
        <w:spacing w:line="600" w:lineRule="exact"/>
        <w:ind w:firstLine="640"/>
        <w:rPr>
          <w:rFonts w:ascii="仿宋" w:hAnsi="仿宋" w:eastAsia="仿宋"/>
          <w:color w:val="auto"/>
          <w:sz w:val="32"/>
          <w:szCs w:val="32"/>
        </w:rPr>
      </w:pPr>
      <w:r>
        <w:rPr>
          <w:rFonts w:ascii="仿宋" w:hAnsi="仿宋" w:eastAsia="仿宋"/>
          <w:color w:val="auto"/>
          <w:sz w:val="32"/>
          <w:szCs w:val="32"/>
        </w:rPr>
        <w:t>20</w:t>
      </w:r>
      <w:r>
        <w:rPr>
          <w:rFonts w:hint="eastAsia" w:ascii="仿宋" w:hAnsi="仿宋" w:eastAsia="仿宋"/>
          <w:color w:val="auto"/>
          <w:sz w:val="32"/>
          <w:szCs w:val="32"/>
          <w:lang w:val="en-US" w:eastAsia="zh-CN"/>
        </w:rPr>
        <w:t>20</w:t>
      </w:r>
      <w:r>
        <w:rPr>
          <w:rFonts w:hint="eastAsia" w:ascii="仿宋" w:hAnsi="仿宋" w:eastAsia="仿宋"/>
          <w:color w:val="auto"/>
          <w:sz w:val="32"/>
          <w:szCs w:val="32"/>
        </w:rPr>
        <w:t>年“三公”经费财政拨款支出决算中，因公出国（境）费支出决算</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0</w:t>
      </w:r>
      <w:r>
        <w:rPr>
          <w:rFonts w:ascii="仿宋" w:hAnsi="仿宋" w:eastAsia="仿宋"/>
          <w:color w:val="auto"/>
          <w:sz w:val="32"/>
          <w:szCs w:val="32"/>
        </w:rPr>
        <w:t>%</w:t>
      </w:r>
      <w:r>
        <w:rPr>
          <w:rFonts w:hint="eastAsia" w:ascii="仿宋" w:hAnsi="仿宋" w:eastAsia="仿宋"/>
          <w:color w:val="auto"/>
          <w:sz w:val="32"/>
          <w:szCs w:val="32"/>
        </w:rPr>
        <w:t>；公务用车购置及运行维护费支出决算</w:t>
      </w:r>
      <w:r>
        <w:rPr>
          <w:rFonts w:hint="eastAsia" w:ascii="仿宋" w:hAnsi="仿宋" w:eastAsia="仿宋"/>
          <w:color w:val="auto"/>
          <w:sz w:val="32"/>
          <w:szCs w:val="32"/>
          <w:lang w:val="en-US" w:eastAsia="zh-CN"/>
        </w:rPr>
        <w:t>0.1</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21.74</w:t>
      </w:r>
      <w:r>
        <w:rPr>
          <w:rFonts w:ascii="仿宋" w:hAnsi="仿宋" w:eastAsia="仿宋"/>
          <w:color w:val="auto"/>
          <w:sz w:val="32"/>
          <w:szCs w:val="32"/>
        </w:rPr>
        <w:t>%</w:t>
      </w:r>
      <w:r>
        <w:rPr>
          <w:rFonts w:hint="eastAsia" w:ascii="仿宋" w:hAnsi="仿宋" w:eastAsia="仿宋"/>
          <w:color w:val="auto"/>
          <w:sz w:val="32"/>
          <w:szCs w:val="32"/>
        </w:rPr>
        <w:t>；公务接待费支出决算</w:t>
      </w:r>
      <w:r>
        <w:rPr>
          <w:rFonts w:hint="eastAsia" w:ascii="仿宋" w:hAnsi="仿宋" w:eastAsia="仿宋"/>
          <w:color w:val="auto"/>
          <w:sz w:val="32"/>
          <w:szCs w:val="32"/>
          <w:lang w:val="en-US" w:eastAsia="zh-CN"/>
        </w:rPr>
        <w:t>0.36</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78.26</w:t>
      </w:r>
      <w:r>
        <w:rPr>
          <w:rFonts w:ascii="仿宋" w:hAnsi="仿宋" w:eastAsia="仿宋"/>
          <w:color w:val="auto"/>
          <w:sz w:val="32"/>
          <w:szCs w:val="32"/>
        </w:rPr>
        <w:t>%</w:t>
      </w:r>
      <w:r>
        <w:rPr>
          <w:rFonts w:hint="eastAsia" w:ascii="仿宋" w:hAnsi="仿宋" w:eastAsia="仿宋"/>
          <w:color w:val="auto"/>
          <w:sz w:val="32"/>
          <w:szCs w:val="32"/>
        </w:rPr>
        <w:t>。具体情况如下：</w:t>
      </w:r>
    </w:p>
    <w:p>
      <w:pPr>
        <w:spacing w:line="600" w:lineRule="exact"/>
        <w:jc w:val="both"/>
        <w:rPr>
          <w:rFonts w:hint="eastAsia" w:ascii="仿宋" w:hAnsi="仿宋" w:eastAsia="仿宋"/>
          <w:color w:val="auto"/>
          <w:sz w:val="32"/>
          <w:szCs w:val="32"/>
        </w:rPr>
      </w:pPr>
      <w:r>
        <w:rPr>
          <w:rFonts w:hint="eastAsia" w:ascii="仿宋" w:hAnsi="仿宋" w:eastAsia="仿宋"/>
          <w:color w:val="auto"/>
          <w:sz w:val="32"/>
          <w:szCs w:val="32"/>
        </w:rPr>
        <w:t>（图7：“三公”经费财政拨款支出结构）</w:t>
      </w:r>
      <w:r>
        <w:rPr>
          <w:rFonts w:hint="eastAsia" w:ascii="仿宋" w:hAnsi="仿宋" w:eastAsia="仿宋"/>
          <w:color w:val="auto"/>
          <w:sz w:val="32"/>
          <w:szCs w:val="32"/>
          <w:lang w:val="en-US" w:eastAsia="zh-CN"/>
        </w:rPr>
        <w:t xml:space="preserve">   单位：万元</w:t>
      </w:r>
    </w:p>
    <w:p>
      <w:pPr>
        <w:rPr>
          <w:rFonts w:hint="eastAsia" w:ascii="仿宋" w:hAnsi="仿宋" w:eastAsia="仿宋"/>
          <w:color w:val="auto"/>
          <w:sz w:val="32"/>
          <w:szCs w:val="32"/>
          <w:lang w:eastAsia="zh-CN"/>
        </w:rPr>
      </w:pPr>
      <w:r>
        <w:rPr>
          <w:rFonts w:hint="eastAsia" w:ascii="仿宋" w:hAnsi="仿宋" w:eastAsia="仿宋"/>
          <w:color w:val="auto"/>
          <w:sz w:val="32"/>
          <w:szCs w:val="32"/>
          <w:lang w:eastAsia="zh-CN"/>
        </w:rPr>
        <w:drawing>
          <wp:inline distT="0" distB="0" distL="114300" distR="114300">
            <wp:extent cx="5080000" cy="3810000"/>
            <wp:effectExtent l="4445" t="4445" r="20955" b="14605"/>
            <wp:docPr id="17"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numPr>
          <w:ilvl w:val="0"/>
          <w:numId w:val="2"/>
        </w:numPr>
        <w:spacing w:line="600" w:lineRule="exact"/>
        <w:ind w:firstLine="640"/>
        <w:rPr>
          <w:rFonts w:hint="eastAsia" w:ascii="仿宋_GB2312" w:eastAsia="仿宋_GB2312"/>
          <w:color w:val="auto"/>
          <w:sz w:val="32"/>
          <w:szCs w:val="32"/>
          <w:lang w:val="en-US" w:eastAsia="zh-CN"/>
        </w:rPr>
      </w:pPr>
      <w:r>
        <w:rPr>
          <w:rFonts w:hint="eastAsia" w:ascii="仿宋_GB2312" w:eastAsia="仿宋_GB2312"/>
          <w:b/>
          <w:color w:val="auto"/>
          <w:sz w:val="32"/>
          <w:szCs w:val="32"/>
          <w:highlight w:val="none"/>
        </w:rPr>
        <w:t>因公出国（境）经费支出</w:t>
      </w:r>
      <w:r>
        <w:rPr>
          <w:rFonts w:hint="eastAsia" w:ascii="仿宋_GB2312" w:eastAsia="仿宋_GB2312"/>
          <w:b/>
          <w:color w:val="auto"/>
          <w:sz w:val="32"/>
          <w:szCs w:val="32"/>
          <w:highlight w:val="none"/>
          <w:lang w:val="en-US" w:eastAsia="zh-CN"/>
        </w:rPr>
        <w:t>0</w:t>
      </w:r>
      <w:r>
        <w:rPr>
          <w:rFonts w:hint="eastAsia" w:ascii="仿宋_GB2312" w:eastAsia="仿宋_GB2312"/>
          <w:color w:val="auto"/>
          <w:sz w:val="32"/>
          <w:szCs w:val="32"/>
          <w:highlight w:val="none"/>
        </w:rPr>
        <w:t>万元</w:t>
      </w:r>
      <w:r>
        <w:rPr>
          <w:rStyle w:val="15"/>
          <w:rFonts w:hint="eastAsia" w:ascii="仿宋" w:hAnsi="仿宋" w:eastAsia="仿宋"/>
          <w:b w:val="0"/>
          <w:bCs/>
          <w:color w:val="auto"/>
          <w:sz w:val="32"/>
          <w:szCs w:val="32"/>
        </w:rPr>
        <w:t>。</w:t>
      </w:r>
      <w:r>
        <w:rPr>
          <w:rFonts w:hint="eastAsia" w:ascii="仿宋_GB2312" w:eastAsia="仿宋_GB2312"/>
          <w:color w:val="auto"/>
          <w:sz w:val="32"/>
          <w:szCs w:val="32"/>
        </w:rPr>
        <w:t>全年安排因公出国（境）团组</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次，出国（境）</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人</w:t>
      </w:r>
      <w:r>
        <w:rPr>
          <w:rFonts w:hint="eastAsia" w:ascii="仿宋_GB2312" w:eastAsia="仿宋_GB2312"/>
          <w:color w:val="auto"/>
          <w:sz w:val="32"/>
          <w:szCs w:val="32"/>
          <w:lang w:eastAsia="zh-CN"/>
        </w:rPr>
        <w:t>。</w:t>
      </w:r>
      <w:r>
        <w:rPr>
          <w:rFonts w:ascii="仿宋_GB2312" w:eastAsia="仿宋_GB2312"/>
          <w:color w:val="auto"/>
          <w:sz w:val="32"/>
          <w:szCs w:val="32"/>
        </w:rPr>
        <w:t>201</w:t>
      </w:r>
      <w:r>
        <w:rPr>
          <w:rFonts w:hint="eastAsia" w:ascii="仿宋_GB2312" w:eastAsia="仿宋_GB2312"/>
          <w:color w:val="auto"/>
          <w:sz w:val="32"/>
          <w:szCs w:val="32"/>
          <w:lang w:val="en-US" w:eastAsia="zh-CN"/>
        </w:rPr>
        <w:t>9</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和2020年均没有因公出国情况。</w:t>
      </w:r>
    </w:p>
    <w:p>
      <w:pPr>
        <w:spacing w:line="600" w:lineRule="exact"/>
        <w:ind w:firstLine="640"/>
        <w:rPr>
          <w:rFonts w:ascii="仿宋_GB2312" w:eastAsia="仿宋_GB2312"/>
          <w:b/>
          <w:color w:val="auto"/>
          <w:sz w:val="32"/>
          <w:szCs w:val="32"/>
        </w:rPr>
      </w:pPr>
      <w:r>
        <w:rPr>
          <w:rFonts w:ascii="仿宋_GB2312" w:eastAsia="仿宋_GB2312"/>
          <w:b/>
          <w:color w:val="auto"/>
          <w:sz w:val="32"/>
          <w:szCs w:val="32"/>
        </w:rPr>
        <w:t>2.</w:t>
      </w:r>
      <w:r>
        <w:rPr>
          <w:rFonts w:hint="eastAsia" w:ascii="仿宋_GB2312" w:eastAsia="仿宋_GB2312"/>
          <w:b/>
          <w:color w:val="auto"/>
          <w:sz w:val="32"/>
          <w:szCs w:val="32"/>
        </w:rPr>
        <w:t>公务用车购置及运行维护费支出</w:t>
      </w:r>
      <w:r>
        <w:rPr>
          <w:rFonts w:hint="eastAsia" w:ascii="仿宋_GB2312" w:eastAsia="仿宋_GB2312"/>
          <w:b/>
          <w:color w:val="auto"/>
          <w:sz w:val="32"/>
          <w:szCs w:val="32"/>
          <w:lang w:val="en-US" w:eastAsia="zh-CN"/>
        </w:rPr>
        <w:t>0.1</w:t>
      </w:r>
      <w:r>
        <w:rPr>
          <w:rFonts w:hint="eastAsia" w:ascii="仿宋_GB2312" w:eastAsia="仿宋_GB2312"/>
          <w:color w:val="auto"/>
          <w:sz w:val="32"/>
          <w:szCs w:val="32"/>
        </w:rPr>
        <w:t>万元,</w:t>
      </w:r>
      <w:r>
        <w:rPr>
          <w:rStyle w:val="15"/>
          <w:rFonts w:hint="eastAsia" w:ascii="仿宋" w:hAnsi="仿宋" w:eastAsia="仿宋"/>
          <w:b w:val="0"/>
          <w:bCs/>
          <w:color w:val="auto"/>
          <w:sz w:val="32"/>
          <w:szCs w:val="32"/>
        </w:rPr>
        <w:t>完成预算</w:t>
      </w:r>
      <w:r>
        <w:rPr>
          <w:rStyle w:val="15"/>
          <w:rFonts w:hint="eastAsia" w:ascii="仿宋" w:hAnsi="仿宋" w:eastAsia="仿宋"/>
          <w:b w:val="0"/>
          <w:bCs/>
          <w:color w:val="auto"/>
          <w:sz w:val="32"/>
          <w:szCs w:val="32"/>
          <w:lang w:val="en-US" w:eastAsia="zh-CN"/>
        </w:rPr>
        <w:t>100</w:t>
      </w:r>
      <w:r>
        <w:rPr>
          <w:rStyle w:val="15"/>
          <w:rFonts w:ascii="仿宋" w:hAnsi="仿宋" w:eastAsia="仿宋"/>
          <w:b w:val="0"/>
          <w:bCs/>
          <w:color w:val="auto"/>
          <w:sz w:val="32"/>
          <w:szCs w:val="32"/>
        </w:rPr>
        <w:t>%</w:t>
      </w:r>
      <w:r>
        <w:rPr>
          <w:rStyle w:val="15"/>
          <w:rFonts w:hint="eastAsia" w:ascii="仿宋" w:hAnsi="仿宋" w:eastAsia="仿宋"/>
          <w:b w:val="0"/>
          <w:bCs/>
          <w:color w:val="auto"/>
          <w:sz w:val="32"/>
          <w:szCs w:val="32"/>
        </w:rPr>
        <w:t>。</w:t>
      </w:r>
      <w:r>
        <w:rPr>
          <w:rFonts w:hint="eastAsia" w:ascii="仿宋_GB2312" w:eastAsia="仿宋_GB2312"/>
          <w:color w:val="auto"/>
          <w:sz w:val="32"/>
          <w:szCs w:val="32"/>
        </w:rPr>
        <w:t>公务用车购置及运行维护费支出决算比</w:t>
      </w:r>
      <w:r>
        <w:rPr>
          <w:rFonts w:ascii="仿宋_GB2312" w:eastAsia="仿宋_GB2312"/>
          <w:color w:val="auto"/>
          <w:sz w:val="32"/>
          <w:szCs w:val="32"/>
        </w:rPr>
        <w:t>201</w:t>
      </w:r>
      <w:r>
        <w:rPr>
          <w:rFonts w:hint="eastAsia" w:ascii="仿宋_GB2312" w:eastAsia="仿宋_GB2312"/>
          <w:color w:val="auto"/>
          <w:sz w:val="32"/>
          <w:szCs w:val="32"/>
          <w:lang w:val="en-US" w:eastAsia="zh-CN"/>
        </w:rPr>
        <w:t>9</w:t>
      </w:r>
      <w:r>
        <w:rPr>
          <w:rFonts w:hint="eastAsia" w:ascii="仿宋_GB2312" w:eastAsia="仿宋_GB2312"/>
          <w:color w:val="auto"/>
          <w:sz w:val="32"/>
          <w:szCs w:val="32"/>
        </w:rPr>
        <w:t>年增加</w:t>
      </w:r>
      <w:r>
        <w:rPr>
          <w:rFonts w:hint="eastAsia" w:ascii="仿宋_GB2312" w:eastAsia="仿宋_GB2312"/>
          <w:color w:val="auto"/>
          <w:sz w:val="32"/>
          <w:szCs w:val="32"/>
          <w:lang w:val="en-US" w:eastAsia="zh-CN"/>
        </w:rPr>
        <w:t>0.1</w:t>
      </w:r>
      <w:r>
        <w:rPr>
          <w:rFonts w:hint="eastAsia" w:ascii="仿宋_GB2312" w:eastAsia="仿宋_GB2312"/>
          <w:color w:val="auto"/>
          <w:sz w:val="32"/>
          <w:szCs w:val="32"/>
        </w:rPr>
        <w:t>万元，增长</w:t>
      </w:r>
      <w:r>
        <w:rPr>
          <w:rFonts w:hint="eastAsia" w:ascii="仿宋_GB2312" w:eastAsia="仿宋_GB2312"/>
          <w:color w:val="auto"/>
          <w:sz w:val="32"/>
          <w:szCs w:val="32"/>
          <w:lang w:val="en-US" w:eastAsia="zh-CN"/>
        </w:rPr>
        <w:t>100</w:t>
      </w:r>
      <w:r>
        <w:rPr>
          <w:rFonts w:ascii="仿宋_GB2312" w:eastAsia="仿宋_GB2312"/>
          <w:color w:val="auto"/>
          <w:sz w:val="32"/>
          <w:szCs w:val="32"/>
        </w:rPr>
        <w:t>%</w:t>
      </w:r>
      <w:r>
        <w:rPr>
          <w:rFonts w:hint="eastAsia" w:ascii="仿宋_GB2312" w:eastAsia="仿宋_GB2312"/>
          <w:color w:val="auto"/>
          <w:sz w:val="32"/>
          <w:szCs w:val="32"/>
        </w:rPr>
        <w:t>。主要原因</w:t>
      </w:r>
      <w:r>
        <w:rPr>
          <w:rFonts w:hint="eastAsia" w:ascii="仿宋_GB2312" w:eastAsia="仿宋_GB2312"/>
          <w:color w:val="auto"/>
          <w:sz w:val="32"/>
          <w:szCs w:val="32"/>
          <w:lang w:val="en-US" w:eastAsia="zh-CN"/>
        </w:rPr>
        <w:t>是2019年无公务用车购置及运行维护费财政拨款。</w:t>
      </w:r>
    </w:p>
    <w:p>
      <w:pPr>
        <w:spacing w:line="600" w:lineRule="exact"/>
        <w:ind w:firstLine="640" w:firstLineChars="200"/>
        <w:rPr>
          <w:rFonts w:ascii="仿宋_GB2312" w:eastAsia="仿宋_GB2312"/>
          <w:b/>
          <w:color w:val="auto"/>
          <w:sz w:val="32"/>
          <w:szCs w:val="32"/>
        </w:rPr>
      </w:pPr>
      <w:r>
        <w:rPr>
          <w:rFonts w:hint="eastAsia" w:ascii="仿宋_GB2312" w:eastAsia="仿宋_GB2312"/>
          <w:color w:val="auto"/>
          <w:sz w:val="32"/>
          <w:szCs w:val="32"/>
        </w:rPr>
        <w:t>其中：</w:t>
      </w:r>
      <w:r>
        <w:rPr>
          <w:rFonts w:hint="eastAsia" w:ascii="仿宋_GB2312" w:eastAsia="仿宋_GB2312"/>
          <w:b/>
          <w:color w:val="auto"/>
          <w:sz w:val="32"/>
          <w:szCs w:val="32"/>
        </w:rPr>
        <w:t>公务用车购置支出</w:t>
      </w:r>
      <w:r>
        <w:rPr>
          <w:rFonts w:hint="eastAsia" w:ascii="仿宋_GB2312" w:eastAsia="仿宋_GB2312"/>
          <w:b/>
          <w:color w:val="auto"/>
          <w:sz w:val="32"/>
          <w:szCs w:val="32"/>
          <w:lang w:val="en-US" w:eastAsia="zh-CN"/>
        </w:rPr>
        <w:t>0</w:t>
      </w:r>
      <w:r>
        <w:rPr>
          <w:rFonts w:hint="eastAsia" w:ascii="仿宋_GB2312" w:eastAsia="仿宋_GB2312"/>
          <w:color w:val="auto"/>
          <w:sz w:val="32"/>
          <w:szCs w:val="32"/>
        </w:rPr>
        <w:t>万元。全年按规定更新购置公务用车</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辆，其中：轿车</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辆、金额</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万元，越野车</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辆、金额</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万元，载客汽车</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辆、金额</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万元。截至</w:t>
      </w:r>
      <w:r>
        <w:rPr>
          <w:rFonts w:ascii="仿宋_GB2312" w:eastAsia="仿宋_GB2312"/>
          <w:color w:val="auto"/>
          <w:sz w:val="32"/>
          <w:szCs w:val="32"/>
        </w:rPr>
        <w:t>20</w:t>
      </w:r>
      <w:r>
        <w:rPr>
          <w:rFonts w:hint="eastAsia" w:ascii="仿宋_GB2312" w:eastAsia="仿宋_GB2312"/>
          <w:color w:val="auto"/>
          <w:sz w:val="32"/>
          <w:szCs w:val="32"/>
          <w:lang w:val="en-US" w:eastAsia="zh-CN"/>
        </w:rPr>
        <w:t>20</w:t>
      </w:r>
      <w:r>
        <w:rPr>
          <w:rFonts w:hint="eastAsia" w:ascii="仿宋_GB2312" w:eastAsia="仿宋_GB2312"/>
          <w:color w:val="auto"/>
          <w:sz w:val="32"/>
          <w:szCs w:val="32"/>
        </w:rPr>
        <w:t>年</w:t>
      </w:r>
      <w:r>
        <w:rPr>
          <w:rFonts w:ascii="仿宋_GB2312" w:eastAsia="仿宋_GB2312"/>
          <w:color w:val="auto"/>
          <w:sz w:val="32"/>
          <w:szCs w:val="32"/>
        </w:rPr>
        <w:t>12</w:t>
      </w:r>
      <w:r>
        <w:rPr>
          <w:rFonts w:hint="eastAsia" w:ascii="仿宋_GB2312" w:eastAsia="仿宋_GB2312"/>
          <w:color w:val="auto"/>
          <w:sz w:val="32"/>
          <w:szCs w:val="32"/>
        </w:rPr>
        <w:t>月底，单位共有公务用车</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辆，其中：轿车</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辆。</w:t>
      </w:r>
    </w:p>
    <w:p>
      <w:pPr>
        <w:spacing w:line="600" w:lineRule="exact"/>
        <w:ind w:firstLine="640"/>
        <w:rPr>
          <w:rFonts w:ascii="仿宋_GB2312" w:eastAsia="仿宋_GB2312"/>
          <w:color w:val="auto"/>
          <w:sz w:val="32"/>
          <w:szCs w:val="32"/>
        </w:rPr>
      </w:pPr>
      <w:r>
        <w:rPr>
          <w:rFonts w:hint="eastAsia" w:ascii="仿宋_GB2312" w:eastAsia="仿宋_GB2312"/>
          <w:b/>
          <w:color w:val="auto"/>
          <w:sz w:val="32"/>
          <w:szCs w:val="32"/>
        </w:rPr>
        <w:t>公务用车运行维护费支出</w:t>
      </w:r>
      <w:r>
        <w:rPr>
          <w:rFonts w:hint="eastAsia" w:ascii="仿宋_GB2312" w:eastAsia="仿宋_GB2312"/>
          <w:b/>
          <w:color w:val="auto"/>
          <w:sz w:val="32"/>
          <w:szCs w:val="32"/>
          <w:lang w:val="en-US" w:eastAsia="zh-CN"/>
        </w:rPr>
        <w:t>0.1</w:t>
      </w:r>
      <w:r>
        <w:rPr>
          <w:rFonts w:hint="eastAsia" w:ascii="仿宋_GB2312" w:eastAsia="仿宋_GB2312"/>
          <w:color w:val="auto"/>
          <w:sz w:val="32"/>
          <w:szCs w:val="32"/>
        </w:rPr>
        <w:t>万元。主要用于所需的公务用车燃料费、维修费、过路过桥费、保险费等支出。</w:t>
      </w:r>
    </w:p>
    <w:p>
      <w:pPr>
        <w:spacing w:line="600" w:lineRule="exact"/>
        <w:ind w:firstLine="640"/>
        <w:rPr>
          <w:rFonts w:ascii="仿宋_GB2312" w:eastAsia="仿宋_GB2312"/>
          <w:color w:val="auto"/>
          <w:sz w:val="32"/>
          <w:szCs w:val="32"/>
        </w:rPr>
      </w:pPr>
      <w:r>
        <w:rPr>
          <w:rFonts w:ascii="仿宋_GB2312" w:eastAsia="仿宋_GB2312"/>
          <w:b/>
          <w:color w:val="auto"/>
          <w:sz w:val="32"/>
          <w:szCs w:val="32"/>
        </w:rPr>
        <w:t>3.</w:t>
      </w:r>
      <w:r>
        <w:rPr>
          <w:rFonts w:hint="eastAsia" w:ascii="仿宋_GB2312" w:eastAsia="仿宋_GB2312"/>
          <w:b/>
          <w:color w:val="auto"/>
          <w:sz w:val="32"/>
          <w:szCs w:val="32"/>
        </w:rPr>
        <w:t>公务接待费支出</w:t>
      </w:r>
      <w:r>
        <w:rPr>
          <w:rFonts w:hint="eastAsia" w:ascii="仿宋_GB2312" w:eastAsia="仿宋_GB2312"/>
          <w:b/>
          <w:color w:val="auto"/>
          <w:sz w:val="32"/>
          <w:szCs w:val="32"/>
          <w:lang w:val="en-US" w:eastAsia="zh-CN"/>
        </w:rPr>
        <w:t>0.36</w:t>
      </w:r>
      <w:r>
        <w:rPr>
          <w:rFonts w:hint="eastAsia" w:ascii="仿宋_GB2312" w:eastAsia="仿宋_GB2312"/>
          <w:color w:val="auto"/>
          <w:sz w:val="32"/>
          <w:szCs w:val="32"/>
        </w:rPr>
        <w:t>万元，</w:t>
      </w:r>
      <w:r>
        <w:rPr>
          <w:rStyle w:val="15"/>
          <w:rFonts w:hint="eastAsia" w:ascii="仿宋" w:hAnsi="仿宋" w:eastAsia="仿宋"/>
          <w:b w:val="0"/>
          <w:bCs/>
          <w:color w:val="auto"/>
          <w:sz w:val="32"/>
          <w:szCs w:val="32"/>
        </w:rPr>
        <w:t>完成预算</w:t>
      </w:r>
      <w:r>
        <w:rPr>
          <w:rStyle w:val="15"/>
          <w:rFonts w:hint="eastAsia" w:ascii="仿宋" w:hAnsi="仿宋" w:eastAsia="仿宋"/>
          <w:b w:val="0"/>
          <w:bCs/>
          <w:color w:val="auto"/>
          <w:sz w:val="32"/>
          <w:szCs w:val="32"/>
          <w:lang w:val="en-US" w:eastAsia="zh-CN"/>
        </w:rPr>
        <w:t>36</w:t>
      </w:r>
      <w:r>
        <w:rPr>
          <w:rStyle w:val="15"/>
          <w:rFonts w:ascii="仿宋" w:hAnsi="仿宋" w:eastAsia="仿宋"/>
          <w:b w:val="0"/>
          <w:bCs/>
          <w:color w:val="auto"/>
          <w:sz w:val="32"/>
          <w:szCs w:val="32"/>
        </w:rPr>
        <w:t>%</w:t>
      </w:r>
      <w:r>
        <w:rPr>
          <w:rStyle w:val="15"/>
          <w:rFonts w:hint="eastAsia" w:ascii="仿宋" w:hAnsi="仿宋" w:eastAsia="仿宋"/>
          <w:b w:val="0"/>
          <w:bCs/>
          <w:color w:val="auto"/>
          <w:sz w:val="32"/>
          <w:szCs w:val="32"/>
        </w:rPr>
        <w:t>。</w:t>
      </w:r>
      <w:r>
        <w:rPr>
          <w:rFonts w:hint="eastAsia" w:ascii="仿宋_GB2312" w:eastAsia="仿宋_GB2312"/>
          <w:color w:val="auto"/>
          <w:sz w:val="32"/>
          <w:szCs w:val="32"/>
        </w:rPr>
        <w:t>公务接待费支出决算比</w:t>
      </w:r>
      <w:r>
        <w:rPr>
          <w:rFonts w:ascii="仿宋_GB2312" w:eastAsia="仿宋_GB2312"/>
          <w:color w:val="auto"/>
          <w:sz w:val="32"/>
          <w:szCs w:val="32"/>
        </w:rPr>
        <w:t>201</w:t>
      </w:r>
      <w:r>
        <w:rPr>
          <w:rFonts w:hint="eastAsia" w:ascii="仿宋_GB2312" w:eastAsia="仿宋_GB2312"/>
          <w:color w:val="auto"/>
          <w:sz w:val="32"/>
          <w:szCs w:val="32"/>
          <w:lang w:val="en-US" w:eastAsia="zh-CN"/>
        </w:rPr>
        <w:t>9</w:t>
      </w:r>
      <w:r>
        <w:rPr>
          <w:rFonts w:hint="eastAsia" w:ascii="仿宋_GB2312" w:eastAsia="仿宋_GB2312"/>
          <w:color w:val="auto"/>
          <w:sz w:val="32"/>
          <w:szCs w:val="32"/>
        </w:rPr>
        <w:t>年增加</w:t>
      </w:r>
      <w:r>
        <w:rPr>
          <w:rFonts w:hint="eastAsia" w:ascii="仿宋_GB2312" w:eastAsia="仿宋_GB2312"/>
          <w:color w:val="auto"/>
          <w:sz w:val="32"/>
          <w:szCs w:val="32"/>
          <w:lang w:val="en-US" w:eastAsia="zh-CN"/>
        </w:rPr>
        <w:t>0.36</w:t>
      </w:r>
      <w:r>
        <w:rPr>
          <w:rFonts w:hint="eastAsia" w:ascii="仿宋_GB2312" w:eastAsia="仿宋_GB2312"/>
          <w:color w:val="auto"/>
          <w:sz w:val="32"/>
          <w:szCs w:val="32"/>
        </w:rPr>
        <w:t>万元，增长</w:t>
      </w:r>
      <w:r>
        <w:rPr>
          <w:rFonts w:hint="eastAsia" w:ascii="仿宋_GB2312" w:eastAsia="仿宋_GB2312"/>
          <w:color w:val="auto"/>
          <w:sz w:val="32"/>
          <w:szCs w:val="32"/>
          <w:lang w:val="en-US" w:eastAsia="zh-CN"/>
        </w:rPr>
        <w:t>100</w:t>
      </w:r>
      <w:r>
        <w:rPr>
          <w:rFonts w:ascii="仿宋_GB2312" w:eastAsia="仿宋_GB2312"/>
          <w:color w:val="auto"/>
          <w:sz w:val="32"/>
          <w:szCs w:val="32"/>
        </w:rPr>
        <w:t>%</w:t>
      </w:r>
      <w:r>
        <w:rPr>
          <w:rFonts w:hint="eastAsia" w:ascii="仿宋_GB2312" w:eastAsia="仿宋_GB2312"/>
          <w:color w:val="auto"/>
          <w:sz w:val="32"/>
          <w:szCs w:val="32"/>
        </w:rPr>
        <w:t>。主要原因是</w:t>
      </w:r>
      <w:r>
        <w:rPr>
          <w:rFonts w:hint="eastAsia" w:ascii="仿宋_GB2312" w:eastAsia="仿宋_GB2312"/>
          <w:color w:val="auto"/>
          <w:sz w:val="32"/>
          <w:szCs w:val="32"/>
          <w:lang w:val="en-US" w:eastAsia="zh-CN"/>
        </w:rPr>
        <w:t>2019年无公务接待费财政拨款。</w:t>
      </w:r>
    </w:p>
    <w:p>
      <w:pPr>
        <w:spacing w:line="600" w:lineRule="exact"/>
        <w:ind w:firstLine="640"/>
        <w:rPr>
          <w:rFonts w:ascii="仿宋_GB2312" w:eastAsia="仿宋_GB2312"/>
          <w:color w:val="auto"/>
          <w:sz w:val="32"/>
          <w:szCs w:val="32"/>
        </w:rPr>
      </w:pPr>
      <w:r>
        <w:rPr>
          <w:rFonts w:hint="eastAsia" w:ascii="仿宋" w:hAnsi="仿宋" w:eastAsia="仿宋"/>
          <w:b/>
          <w:color w:val="auto"/>
          <w:sz w:val="32"/>
          <w:szCs w:val="32"/>
        </w:rPr>
        <w:t>国内公务接待支出</w:t>
      </w:r>
      <w:r>
        <w:rPr>
          <w:rFonts w:hint="eastAsia" w:ascii="仿宋" w:hAnsi="仿宋" w:eastAsia="仿宋"/>
          <w:b/>
          <w:color w:val="auto"/>
          <w:sz w:val="32"/>
          <w:szCs w:val="32"/>
          <w:lang w:val="en-US" w:eastAsia="zh-CN"/>
        </w:rPr>
        <w:t>0.36</w:t>
      </w:r>
      <w:r>
        <w:rPr>
          <w:rFonts w:hint="eastAsia" w:ascii="仿宋_GB2312" w:eastAsia="仿宋_GB2312"/>
          <w:color w:val="auto"/>
          <w:sz w:val="32"/>
          <w:szCs w:val="32"/>
        </w:rPr>
        <w:t>万元，主要用于执行公务、开展业务活动开支的用餐费。国内公务接待</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批次，</w:t>
      </w:r>
      <w:r>
        <w:rPr>
          <w:rFonts w:hint="eastAsia" w:ascii="仿宋_GB2312" w:eastAsia="仿宋_GB2312"/>
          <w:color w:val="auto"/>
          <w:sz w:val="32"/>
          <w:szCs w:val="32"/>
          <w:lang w:val="en-US" w:eastAsia="zh-CN"/>
        </w:rPr>
        <w:t>26</w:t>
      </w:r>
      <w:r>
        <w:rPr>
          <w:rFonts w:hint="eastAsia" w:ascii="仿宋_GB2312" w:eastAsia="仿宋_GB2312"/>
          <w:color w:val="auto"/>
          <w:sz w:val="32"/>
          <w:szCs w:val="32"/>
        </w:rPr>
        <w:t>人次（不包括陪同人员），共计支出</w:t>
      </w:r>
      <w:r>
        <w:rPr>
          <w:rFonts w:hint="eastAsia" w:ascii="仿宋_GB2312" w:eastAsia="仿宋_GB2312"/>
          <w:color w:val="auto"/>
          <w:sz w:val="32"/>
          <w:szCs w:val="32"/>
          <w:lang w:val="en-US" w:eastAsia="zh-CN"/>
        </w:rPr>
        <w:t>0.36</w:t>
      </w:r>
      <w:r>
        <w:rPr>
          <w:rFonts w:hint="eastAsia" w:ascii="仿宋_GB2312" w:eastAsia="仿宋_GB2312"/>
          <w:color w:val="auto"/>
          <w:sz w:val="32"/>
          <w:szCs w:val="32"/>
        </w:rPr>
        <w:t>万元，</w:t>
      </w:r>
      <w:r>
        <w:rPr>
          <w:rFonts w:hint="eastAsia" w:ascii="仿宋_GB2312" w:eastAsia="仿宋_GB2312"/>
          <w:color w:val="auto"/>
          <w:sz w:val="32"/>
          <w:szCs w:val="32"/>
          <w:lang w:val="en-US" w:eastAsia="zh-CN"/>
        </w:rPr>
        <w:t>主要用于业务往来单位就干部培训、职称评定、人事、财务管理、关爱留守儿童等工作交流的用餐费</w:t>
      </w:r>
      <w:r>
        <w:rPr>
          <w:rFonts w:hint="eastAsia" w:ascii="仿宋_GB2312" w:eastAsia="仿宋_GB2312"/>
          <w:color w:val="auto"/>
          <w:sz w:val="32"/>
          <w:szCs w:val="32"/>
        </w:rPr>
        <w:t>。</w:t>
      </w:r>
    </w:p>
    <w:p>
      <w:pPr>
        <w:spacing w:line="600" w:lineRule="exact"/>
        <w:ind w:firstLine="643" w:firstLineChars="200"/>
        <w:rPr>
          <w:rFonts w:ascii="黑体" w:eastAsia="黑体"/>
          <w:color w:val="auto"/>
          <w:sz w:val="32"/>
          <w:szCs w:val="32"/>
        </w:rPr>
      </w:pPr>
      <w:r>
        <w:rPr>
          <w:rFonts w:hint="eastAsia" w:ascii="仿宋" w:hAnsi="仿宋" w:eastAsia="仿宋"/>
          <w:b/>
          <w:color w:val="auto"/>
          <w:sz w:val="32"/>
          <w:szCs w:val="32"/>
        </w:rPr>
        <w:t>外事接待支出</w:t>
      </w:r>
      <w:r>
        <w:rPr>
          <w:rFonts w:hint="eastAsia" w:ascii="仿宋" w:hAnsi="仿宋" w:eastAsia="仿宋"/>
          <w:b/>
          <w:color w:val="auto"/>
          <w:sz w:val="32"/>
          <w:szCs w:val="32"/>
          <w:lang w:val="en-US" w:eastAsia="zh-CN"/>
        </w:rPr>
        <w:t>0</w:t>
      </w:r>
      <w:r>
        <w:rPr>
          <w:rFonts w:hint="eastAsia" w:ascii="仿宋_GB2312" w:eastAsia="仿宋_GB2312"/>
          <w:color w:val="auto"/>
          <w:sz w:val="32"/>
          <w:szCs w:val="32"/>
        </w:rPr>
        <w:t>万元，外事接待</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批次，</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人，共计支出</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w:t>
      </w:r>
      <w:r>
        <w:rPr>
          <w:rFonts w:hint="eastAsia" w:ascii="仿宋_GB2312" w:eastAsia="仿宋_GB2312"/>
          <w:color w:val="auto"/>
          <w:sz w:val="32"/>
          <w:szCs w:val="32"/>
          <w:lang w:eastAsia="zh-CN"/>
        </w:rPr>
        <w:t>。</w:t>
      </w:r>
      <w:bookmarkStart w:id="60" w:name="_Toc15377218"/>
      <w:bookmarkStart w:id="61" w:name="_Toc15396610"/>
    </w:p>
    <w:p>
      <w:pPr>
        <w:spacing w:line="600" w:lineRule="exact"/>
        <w:ind w:firstLine="640"/>
        <w:outlineLvl w:val="1"/>
        <w:rPr>
          <w:rStyle w:val="29"/>
          <w:rFonts w:ascii="黑体" w:hAnsi="黑体" w:eastAsia="黑体"/>
          <w:color w:val="auto"/>
        </w:rPr>
      </w:pPr>
      <w:bookmarkStart w:id="62" w:name="_Toc14171"/>
      <w:r>
        <w:rPr>
          <w:rFonts w:hint="eastAsia" w:ascii="黑体" w:eastAsia="黑体"/>
          <w:color w:val="auto"/>
          <w:sz w:val="32"/>
          <w:szCs w:val="32"/>
        </w:rPr>
        <w:t>八、</w:t>
      </w:r>
      <w:r>
        <w:rPr>
          <w:rStyle w:val="29"/>
          <w:rFonts w:hint="eastAsia" w:ascii="黑体" w:hAnsi="黑体" w:eastAsia="黑体"/>
          <w:b w:val="0"/>
          <w:color w:val="auto"/>
        </w:rPr>
        <w:t>政府性基金预算支出决算情况说明</w:t>
      </w:r>
      <w:bookmarkEnd w:id="60"/>
      <w:bookmarkEnd w:id="61"/>
      <w:bookmarkEnd w:id="62"/>
    </w:p>
    <w:p>
      <w:pPr>
        <w:spacing w:line="600" w:lineRule="exact"/>
        <w:ind w:firstLine="640"/>
        <w:rPr>
          <w:rFonts w:ascii="仿宋_GB2312" w:eastAsia="仿宋_GB2312"/>
          <w:color w:val="auto"/>
          <w:sz w:val="32"/>
          <w:szCs w:val="32"/>
        </w:rPr>
      </w:pPr>
      <w:r>
        <w:rPr>
          <w:rFonts w:ascii="仿宋_GB2312" w:eastAsia="仿宋_GB2312"/>
          <w:color w:val="auto"/>
          <w:sz w:val="32"/>
          <w:szCs w:val="32"/>
        </w:rPr>
        <w:t>20</w:t>
      </w:r>
      <w:r>
        <w:rPr>
          <w:rFonts w:hint="eastAsia" w:ascii="仿宋_GB2312" w:eastAsia="仿宋_GB2312"/>
          <w:color w:val="auto"/>
          <w:sz w:val="32"/>
          <w:szCs w:val="32"/>
          <w:lang w:val="en-US" w:eastAsia="zh-CN"/>
        </w:rPr>
        <w:t>20</w:t>
      </w:r>
      <w:r>
        <w:rPr>
          <w:rFonts w:hint="eastAsia" w:ascii="仿宋_GB2312" w:eastAsia="仿宋_GB2312"/>
          <w:color w:val="auto"/>
          <w:sz w:val="32"/>
          <w:szCs w:val="32"/>
        </w:rPr>
        <w:t>年政府性基金预算</w:t>
      </w:r>
      <w:r>
        <w:rPr>
          <w:rFonts w:hint="eastAsia" w:ascii="仿宋_GB2312" w:eastAsia="仿宋_GB2312"/>
          <w:color w:val="auto"/>
          <w:sz w:val="32"/>
          <w:szCs w:val="32"/>
          <w:lang w:eastAsia="zh-CN"/>
        </w:rPr>
        <w:t>财政</w:t>
      </w:r>
      <w:r>
        <w:rPr>
          <w:rFonts w:hint="eastAsia" w:ascii="仿宋_GB2312" w:eastAsia="仿宋_GB2312"/>
          <w:color w:val="auto"/>
          <w:sz w:val="32"/>
          <w:szCs w:val="32"/>
        </w:rPr>
        <w:t>拨款支出</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w:t>
      </w:r>
    </w:p>
    <w:p>
      <w:pPr>
        <w:numPr>
          <w:ilvl w:val="0"/>
          <w:numId w:val="3"/>
        </w:numPr>
        <w:spacing w:line="600" w:lineRule="exact"/>
        <w:ind w:firstLine="640"/>
        <w:outlineLvl w:val="1"/>
        <w:rPr>
          <w:rStyle w:val="29"/>
          <w:rFonts w:ascii="黑体" w:hAnsi="黑体" w:eastAsia="黑体"/>
          <w:b w:val="0"/>
          <w:color w:val="auto"/>
        </w:rPr>
      </w:pPr>
      <w:bookmarkStart w:id="63" w:name="_Toc15377219"/>
      <w:bookmarkStart w:id="64" w:name="_Toc15396611"/>
      <w:bookmarkStart w:id="65" w:name="_Toc9142"/>
      <w:r>
        <w:rPr>
          <w:rStyle w:val="29"/>
          <w:rFonts w:hint="eastAsia" w:ascii="黑体" w:hAnsi="黑体" w:eastAsia="黑体"/>
          <w:b w:val="0"/>
          <w:color w:val="auto"/>
        </w:rPr>
        <w:t>国有资本经营预算支出决算情况说明</w:t>
      </w:r>
      <w:bookmarkEnd w:id="63"/>
      <w:bookmarkEnd w:id="64"/>
      <w:bookmarkEnd w:id="65"/>
    </w:p>
    <w:p>
      <w:pPr>
        <w:spacing w:line="600" w:lineRule="exact"/>
        <w:ind w:firstLine="640"/>
        <w:rPr>
          <w:rFonts w:ascii="方正小标宋简体" w:hAnsi="方正小标宋简体" w:eastAsia="方正小标宋简体" w:cs="方正小标宋简体"/>
          <w:color w:val="auto"/>
          <w:sz w:val="44"/>
          <w:szCs w:val="44"/>
        </w:rPr>
      </w:pPr>
      <w:r>
        <w:rPr>
          <w:rFonts w:ascii="仿宋_GB2312" w:eastAsia="仿宋_GB2312"/>
          <w:color w:val="auto"/>
          <w:sz w:val="32"/>
          <w:szCs w:val="32"/>
        </w:rPr>
        <w:t>20</w:t>
      </w:r>
      <w:r>
        <w:rPr>
          <w:rFonts w:hint="eastAsia" w:ascii="仿宋_GB2312" w:eastAsia="仿宋_GB2312"/>
          <w:color w:val="auto"/>
          <w:sz w:val="32"/>
          <w:szCs w:val="32"/>
          <w:lang w:val="en-US" w:eastAsia="zh-CN"/>
        </w:rPr>
        <w:t>20</w:t>
      </w:r>
      <w:r>
        <w:rPr>
          <w:rFonts w:hint="eastAsia" w:ascii="仿宋_GB2312" w:eastAsia="仿宋_GB2312"/>
          <w:color w:val="auto"/>
          <w:sz w:val="32"/>
          <w:szCs w:val="32"/>
        </w:rPr>
        <w:t>年国有资本经营预算</w:t>
      </w:r>
      <w:r>
        <w:rPr>
          <w:rFonts w:hint="eastAsia" w:ascii="仿宋_GB2312" w:eastAsia="仿宋_GB2312"/>
          <w:color w:val="auto"/>
          <w:sz w:val="32"/>
          <w:szCs w:val="32"/>
          <w:lang w:eastAsia="zh-CN"/>
        </w:rPr>
        <w:t>财政</w:t>
      </w:r>
      <w:r>
        <w:rPr>
          <w:rFonts w:hint="eastAsia" w:ascii="仿宋_GB2312" w:eastAsia="仿宋_GB2312"/>
          <w:color w:val="auto"/>
          <w:sz w:val="32"/>
          <w:szCs w:val="32"/>
        </w:rPr>
        <w:t>拨款支出</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w:t>
      </w:r>
    </w:p>
    <w:p>
      <w:pPr>
        <w:numPr>
          <w:ilvl w:val="0"/>
          <w:numId w:val="3"/>
        </w:numPr>
        <w:spacing w:line="600" w:lineRule="exact"/>
        <w:ind w:firstLine="640"/>
        <w:outlineLvl w:val="1"/>
        <w:rPr>
          <w:rStyle w:val="29"/>
          <w:rFonts w:hint="eastAsia" w:ascii="黑体" w:hAnsi="黑体" w:eastAsia="黑体"/>
          <w:b w:val="0"/>
          <w:color w:val="auto"/>
        </w:rPr>
      </w:pPr>
      <w:bookmarkStart w:id="66" w:name="_Toc15396612"/>
      <w:bookmarkStart w:id="67" w:name="_Toc15377221"/>
      <w:bookmarkStart w:id="68" w:name="_Toc11492"/>
      <w:r>
        <w:rPr>
          <w:rStyle w:val="29"/>
          <w:rFonts w:hint="eastAsia" w:ascii="黑体" w:hAnsi="黑体" w:eastAsia="黑体"/>
          <w:b w:val="0"/>
          <w:color w:val="auto"/>
        </w:rPr>
        <w:t>其他重要事项的情况说明</w:t>
      </w:r>
      <w:bookmarkEnd w:id="66"/>
      <w:bookmarkEnd w:id="67"/>
      <w:bookmarkEnd w:id="68"/>
    </w:p>
    <w:p>
      <w:pPr>
        <w:spacing w:line="600" w:lineRule="exact"/>
        <w:ind w:firstLine="643" w:firstLineChars="200"/>
        <w:outlineLvl w:val="2"/>
        <w:rPr>
          <w:rFonts w:ascii="仿宋" w:hAnsi="仿宋" w:eastAsia="仿宋"/>
          <w:color w:val="auto"/>
          <w:sz w:val="32"/>
          <w:szCs w:val="32"/>
        </w:rPr>
      </w:pPr>
      <w:bookmarkStart w:id="69" w:name="_Toc15377222"/>
      <w:bookmarkStart w:id="70" w:name="_Toc12665"/>
      <w:bookmarkStart w:id="71" w:name="_Toc30604"/>
      <w:r>
        <w:rPr>
          <w:rFonts w:hint="eastAsia" w:ascii="仿宋" w:hAnsi="仿宋" w:eastAsia="仿宋"/>
          <w:b/>
          <w:color w:val="auto"/>
          <w:sz w:val="32"/>
          <w:szCs w:val="32"/>
        </w:rPr>
        <w:t>（一）机关运行经费支出情况</w:t>
      </w:r>
      <w:bookmarkEnd w:id="69"/>
      <w:bookmarkEnd w:id="70"/>
      <w:bookmarkEnd w:id="71"/>
    </w:p>
    <w:p>
      <w:pPr>
        <w:spacing w:line="600" w:lineRule="exact"/>
        <w:ind w:firstLine="640" w:firstLineChars="200"/>
        <w:rPr>
          <w:rFonts w:hint="default" w:ascii="仿宋_GB2312" w:eastAsia="仿宋_GB2312"/>
          <w:color w:val="auto"/>
          <w:sz w:val="32"/>
          <w:szCs w:val="32"/>
          <w:lang w:val="en-US" w:eastAsia="zh-CN"/>
        </w:rPr>
      </w:pPr>
      <w:r>
        <w:rPr>
          <w:rFonts w:ascii="仿宋_GB2312" w:eastAsia="仿宋_GB2312"/>
          <w:color w:val="auto"/>
          <w:sz w:val="32"/>
          <w:szCs w:val="32"/>
        </w:rPr>
        <w:t>20</w:t>
      </w:r>
      <w:r>
        <w:rPr>
          <w:rFonts w:hint="eastAsia" w:ascii="仿宋_GB2312" w:eastAsia="仿宋_GB2312"/>
          <w:color w:val="auto"/>
          <w:sz w:val="32"/>
          <w:szCs w:val="32"/>
          <w:lang w:val="en-US" w:eastAsia="zh-CN"/>
        </w:rPr>
        <w:t>20</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四川省团校无机关</w:t>
      </w:r>
      <w:r>
        <w:rPr>
          <w:rFonts w:hint="eastAsia" w:ascii="仿宋_GB2312" w:eastAsia="仿宋_GB2312"/>
          <w:color w:val="auto"/>
          <w:sz w:val="32"/>
          <w:szCs w:val="32"/>
        </w:rPr>
        <w:t>运行经费</w:t>
      </w:r>
      <w:r>
        <w:rPr>
          <w:rFonts w:hint="eastAsia" w:ascii="仿宋_GB2312" w:eastAsia="仿宋_GB2312"/>
          <w:color w:val="auto"/>
          <w:sz w:val="32"/>
          <w:szCs w:val="32"/>
          <w:lang w:val="en-US" w:eastAsia="zh-CN"/>
        </w:rPr>
        <w:t>。</w:t>
      </w:r>
    </w:p>
    <w:p>
      <w:pPr>
        <w:autoSpaceDE w:val="0"/>
        <w:autoSpaceDN w:val="0"/>
        <w:adjustRightInd w:val="0"/>
        <w:spacing w:line="600" w:lineRule="exact"/>
        <w:ind w:firstLine="643" w:firstLineChars="200"/>
        <w:jc w:val="left"/>
        <w:outlineLvl w:val="2"/>
        <w:rPr>
          <w:rFonts w:ascii="仿宋" w:hAnsi="仿宋" w:eastAsia="仿宋"/>
          <w:b/>
          <w:color w:val="auto"/>
          <w:sz w:val="32"/>
          <w:szCs w:val="32"/>
        </w:rPr>
      </w:pPr>
      <w:bookmarkStart w:id="72" w:name="_Toc15377223"/>
      <w:bookmarkStart w:id="73" w:name="_Toc12847"/>
      <w:bookmarkStart w:id="74" w:name="_Toc28743"/>
      <w:r>
        <w:rPr>
          <w:rFonts w:hint="eastAsia" w:ascii="仿宋" w:hAnsi="仿宋" w:eastAsia="仿宋"/>
          <w:b/>
          <w:color w:val="auto"/>
          <w:sz w:val="32"/>
          <w:szCs w:val="32"/>
        </w:rPr>
        <w:t>（二）政府采购支出情况</w:t>
      </w:r>
      <w:bookmarkEnd w:id="72"/>
      <w:bookmarkEnd w:id="73"/>
      <w:bookmarkEnd w:id="74"/>
    </w:p>
    <w:p>
      <w:pPr>
        <w:spacing w:line="600" w:lineRule="exact"/>
        <w:ind w:firstLine="640" w:firstLineChars="200"/>
        <w:rPr>
          <w:rFonts w:ascii="仿宋_GB2312" w:eastAsia="仿宋_GB2312"/>
          <w:color w:val="auto"/>
          <w:sz w:val="32"/>
          <w:szCs w:val="32"/>
        </w:rPr>
      </w:pPr>
      <w:r>
        <w:rPr>
          <w:rFonts w:ascii="仿宋_GB2312" w:eastAsia="仿宋_GB2312"/>
          <w:color w:val="auto"/>
          <w:sz w:val="32"/>
          <w:szCs w:val="32"/>
        </w:rPr>
        <w:t>20</w:t>
      </w:r>
      <w:r>
        <w:rPr>
          <w:rFonts w:hint="eastAsia" w:ascii="仿宋_GB2312" w:eastAsia="仿宋_GB2312"/>
          <w:color w:val="auto"/>
          <w:sz w:val="32"/>
          <w:szCs w:val="32"/>
          <w:lang w:val="en-US" w:eastAsia="zh-CN"/>
        </w:rPr>
        <w:t>20</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四川省团校</w:t>
      </w:r>
      <w:r>
        <w:rPr>
          <w:rFonts w:hint="eastAsia" w:ascii="仿宋_GB2312" w:eastAsia="仿宋_GB2312"/>
          <w:color w:val="auto"/>
          <w:sz w:val="32"/>
          <w:szCs w:val="32"/>
        </w:rPr>
        <w:t>政府采购支出总额</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万元，其中：政府采购货物支出</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万元、政府采购工程支出</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万元、政府采购服务支出</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万元。授予中小企业合同金额</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万元，占政府采购支出总额的</w:t>
      </w:r>
      <w:r>
        <w:rPr>
          <w:rFonts w:hint="eastAsia" w:ascii="仿宋_GB2312" w:eastAsia="仿宋_GB2312"/>
          <w:color w:val="auto"/>
          <w:sz w:val="32"/>
          <w:szCs w:val="32"/>
          <w:lang w:val="en-US" w:eastAsia="zh-CN"/>
        </w:rPr>
        <w:t>0</w:t>
      </w:r>
      <w:r>
        <w:rPr>
          <w:rFonts w:ascii="仿宋_GB2312" w:eastAsia="仿宋_GB2312"/>
          <w:color w:val="auto"/>
          <w:sz w:val="32"/>
          <w:szCs w:val="32"/>
        </w:rPr>
        <w:t>%</w:t>
      </w:r>
      <w:r>
        <w:rPr>
          <w:rFonts w:hint="eastAsia" w:ascii="仿宋_GB2312" w:eastAsia="仿宋_GB2312"/>
          <w:color w:val="auto"/>
          <w:sz w:val="32"/>
          <w:szCs w:val="32"/>
        </w:rPr>
        <w:t>，其中：授予小微企业合同金额</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万元，占政府采购支出总额的</w:t>
      </w:r>
      <w:r>
        <w:rPr>
          <w:rFonts w:hint="eastAsia" w:ascii="仿宋_GB2312" w:eastAsia="仿宋_GB2312"/>
          <w:color w:val="auto"/>
          <w:sz w:val="32"/>
          <w:szCs w:val="32"/>
          <w:lang w:val="en-US" w:eastAsia="zh-CN"/>
        </w:rPr>
        <w:t>0</w:t>
      </w:r>
      <w:r>
        <w:rPr>
          <w:rFonts w:ascii="仿宋_GB2312" w:eastAsia="仿宋_GB2312"/>
          <w:color w:val="auto"/>
          <w:sz w:val="32"/>
          <w:szCs w:val="32"/>
        </w:rPr>
        <w:t>%</w:t>
      </w:r>
      <w:r>
        <w:rPr>
          <w:rFonts w:hint="eastAsia" w:ascii="仿宋_GB2312" w:eastAsia="仿宋_GB2312"/>
          <w:color w:val="auto"/>
          <w:sz w:val="32"/>
          <w:szCs w:val="32"/>
        </w:rPr>
        <w:t>。</w:t>
      </w:r>
    </w:p>
    <w:p>
      <w:pPr>
        <w:autoSpaceDE w:val="0"/>
        <w:autoSpaceDN w:val="0"/>
        <w:adjustRightInd w:val="0"/>
        <w:spacing w:line="600" w:lineRule="exact"/>
        <w:ind w:firstLine="643" w:firstLineChars="200"/>
        <w:jc w:val="left"/>
        <w:outlineLvl w:val="2"/>
        <w:rPr>
          <w:rFonts w:ascii="仿宋" w:hAnsi="仿宋" w:eastAsia="仿宋"/>
          <w:b/>
          <w:color w:val="auto"/>
          <w:sz w:val="32"/>
          <w:szCs w:val="32"/>
        </w:rPr>
      </w:pPr>
      <w:bookmarkStart w:id="75" w:name="_Toc15377224"/>
      <w:bookmarkStart w:id="76" w:name="_Toc2786"/>
      <w:bookmarkStart w:id="77" w:name="_Toc2638"/>
      <w:r>
        <w:rPr>
          <w:rFonts w:hint="eastAsia" w:ascii="仿宋" w:hAnsi="仿宋" w:eastAsia="仿宋"/>
          <w:b/>
          <w:color w:val="auto"/>
          <w:sz w:val="32"/>
          <w:szCs w:val="32"/>
        </w:rPr>
        <w:t>（三）国有资产占有使用情况</w:t>
      </w:r>
      <w:bookmarkEnd w:id="75"/>
      <w:bookmarkEnd w:id="76"/>
      <w:bookmarkEnd w:id="77"/>
    </w:p>
    <w:p>
      <w:pPr>
        <w:autoSpaceDE w:val="0"/>
        <w:autoSpaceDN w:val="0"/>
        <w:adjustRightInd w:val="0"/>
        <w:spacing w:line="600" w:lineRule="exact"/>
        <w:ind w:firstLine="640" w:firstLineChars="200"/>
        <w:jc w:val="left"/>
        <w:rPr>
          <w:rFonts w:hint="eastAsia" w:ascii="仿宋" w:hAnsi="仿宋" w:eastAsia="仿宋"/>
          <w:b/>
          <w:color w:val="auto"/>
          <w:sz w:val="32"/>
          <w:szCs w:val="32"/>
        </w:rPr>
      </w:pPr>
      <w:r>
        <w:rPr>
          <w:rFonts w:hint="eastAsia" w:ascii="仿宋_GB2312" w:eastAsia="仿宋_GB2312"/>
          <w:color w:val="auto"/>
          <w:sz w:val="32"/>
          <w:szCs w:val="32"/>
        </w:rPr>
        <w:t>截至</w:t>
      </w:r>
      <w:r>
        <w:rPr>
          <w:rFonts w:ascii="仿宋_GB2312" w:eastAsia="仿宋_GB2312"/>
          <w:color w:val="auto"/>
          <w:sz w:val="32"/>
          <w:szCs w:val="32"/>
        </w:rPr>
        <w:t>20</w:t>
      </w:r>
      <w:r>
        <w:rPr>
          <w:rFonts w:hint="eastAsia" w:ascii="仿宋_GB2312" w:eastAsia="仿宋_GB2312"/>
          <w:color w:val="auto"/>
          <w:sz w:val="32"/>
          <w:szCs w:val="32"/>
          <w:lang w:val="en-US" w:eastAsia="zh-CN"/>
        </w:rPr>
        <w:t>20</w:t>
      </w:r>
      <w:r>
        <w:rPr>
          <w:rFonts w:hint="eastAsia" w:ascii="仿宋_GB2312" w:eastAsia="仿宋_GB2312"/>
          <w:color w:val="auto"/>
          <w:sz w:val="32"/>
          <w:szCs w:val="32"/>
        </w:rPr>
        <w:t>年</w:t>
      </w:r>
      <w:r>
        <w:rPr>
          <w:rFonts w:ascii="仿宋_GB2312" w:eastAsia="仿宋_GB2312"/>
          <w:color w:val="auto"/>
          <w:sz w:val="32"/>
          <w:szCs w:val="32"/>
        </w:rPr>
        <w:t>12</w:t>
      </w:r>
      <w:r>
        <w:rPr>
          <w:rFonts w:hint="eastAsia" w:ascii="仿宋_GB2312" w:eastAsia="仿宋_GB2312"/>
          <w:color w:val="auto"/>
          <w:sz w:val="32"/>
          <w:szCs w:val="32"/>
        </w:rPr>
        <w:t>月</w:t>
      </w:r>
      <w:r>
        <w:rPr>
          <w:rFonts w:ascii="仿宋_GB2312" w:eastAsia="仿宋_GB2312"/>
          <w:color w:val="auto"/>
          <w:sz w:val="32"/>
          <w:szCs w:val="32"/>
        </w:rPr>
        <w:t>31</w:t>
      </w:r>
      <w:r>
        <w:rPr>
          <w:rFonts w:hint="eastAsia" w:ascii="仿宋_GB2312" w:eastAsia="仿宋_GB2312"/>
          <w:color w:val="auto"/>
          <w:sz w:val="32"/>
          <w:szCs w:val="32"/>
        </w:rPr>
        <w:t>日，</w:t>
      </w:r>
      <w:r>
        <w:rPr>
          <w:rFonts w:hint="eastAsia" w:ascii="仿宋_GB2312" w:eastAsia="仿宋_GB2312"/>
          <w:color w:val="auto"/>
          <w:sz w:val="32"/>
          <w:szCs w:val="32"/>
          <w:lang w:val="en-US" w:eastAsia="zh-CN"/>
        </w:rPr>
        <w:t>四川省团校</w:t>
      </w:r>
      <w:r>
        <w:rPr>
          <w:rFonts w:hint="eastAsia" w:ascii="仿宋_GB2312" w:eastAsia="仿宋_GB2312"/>
          <w:color w:val="auto"/>
          <w:sz w:val="32"/>
          <w:szCs w:val="32"/>
        </w:rPr>
        <w:t>共有车辆</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辆，其中：主要领导干部用车</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辆、机要通信用车</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辆、应急保障用车</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辆</w:t>
      </w:r>
      <w:r>
        <w:rPr>
          <w:rFonts w:hint="eastAsia" w:ascii="仿宋_GB2312" w:eastAsia="仿宋_GB2312"/>
          <w:color w:val="auto"/>
          <w:sz w:val="32"/>
          <w:szCs w:val="32"/>
          <w:lang w:eastAsia="zh-CN"/>
        </w:rPr>
        <w:t>，</w:t>
      </w:r>
      <w:r>
        <w:rPr>
          <w:rFonts w:hint="eastAsia" w:ascii="仿宋_GB2312" w:eastAsia="仿宋_GB2312"/>
          <w:color w:val="auto"/>
          <w:sz w:val="32"/>
          <w:szCs w:val="32"/>
        </w:rPr>
        <w:t>单价</w:t>
      </w:r>
      <w:r>
        <w:rPr>
          <w:rFonts w:ascii="仿宋_GB2312" w:eastAsia="仿宋_GB2312"/>
          <w:color w:val="auto"/>
          <w:sz w:val="32"/>
          <w:szCs w:val="32"/>
        </w:rPr>
        <w:t>50</w:t>
      </w:r>
      <w:r>
        <w:rPr>
          <w:rFonts w:hint="eastAsia" w:ascii="仿宋_GB2312" w:eastAsia="仿宋_GB2312"/>
          <w:color w:val="auto"/>
          <w:sz w:val="32"/>
          <w:szCs w:val="32"/>
        </w:rPr>
        <w:t>万元以上通用设备</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台（套），单价</w:t>
      </w:r>
      <w:r>
        <w:rPr>
          <w:rFonts w:ascii="仿宋_GB2312" w:eastAsia="仿宋_GB2312"/>
          <w:color w:val="auto"/>
          <w:sz w:val="32"/>
          <w:szCs w:val="32"/>
        </w:rPr>
        <w:t>100</w:t>
      </w:r>
      <w:r>
        <w:rPr>
          <w:rFonts w:hint="eastAsia" w:ascii="仿宋_GB2312" w:eastAsia="仿宋_GB2312"/>
          <w:color w:val="auto"/>
          <w:sz w:val="32"/>
          <w:szCs w:val="32"/>
        </w:rPr>
        <w:t>万元以上专用设备</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台（套）。</w:t>
      </w:r>
    </w:p>
    <w:p>
      <w:pPr>
        <w:autoSpaceDE w:val="0"/>
        <w:autoSpaceDN w:val="0"/>
        <w:adjustRightInd w:val="0"/>
        <w:spacing w:line="600" w:lineRule="exact"/>
        <w:ind w:firstLine="643" w:firstLineChars="200"/>
        <w:jc w:val="left"/>
        <w:outlineLvl w:val="2"/>
        <w:rPr>
          <w:rFonts w:hint="eastAsia" w:ascii="仿宋" w:hAnsi="仿宋" w:eastAsia="仿宋"/>
          <w:b/>
          <w:color w:val="auto"/>
          <w:sz w:val="32"/>
          <w:szCs w:val="32"/>
          <w:lang w:eastAsia="zh-CN"/>
        </w:rPr>
      </w:pPr>
      <w:bookmarkStart w:id="78" w:name="_Toc14933"/>
      <w:bookmarkStart w:id="79" w:name="_Toc7585"/>
      <w:r>
        <w:rPr>
          <w:rFonts w:hint="eastAsia" w:ascii="仿宋" w:hAnsi="仿宋" w:eastAsia="仿宋"/>
          <w:b/>
          <w:color w:val="auto"/>
          <w:sz w:val="32"/>
          <w:szCs w:val="32"/>
        </w:rPr>
        <w:t>（四）预算绩效管理情况</w:t>
      </w:r>
      <w:bookmarkEnd w:id="78"/>
      <w:bookmarkEnd w:id="79"/>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根据预算绩效管理要求，本单位在</w:t>
      </w:r>
      <w:r>
        <w:rPr>
          <w:rFonts w:hint="eastAsia" w:ascii="仿宋_GB2312" w:hAnsi="仿宋_GB2312" w:eastAsia="仿宋_GB2312" w:cs="仿宋_GB2312"/>
          <w:color w:val="auto"/>
          <w:sz w:val="32"/>
          <w:szCs w:val="32"/>
          <w:lang w:val="en-US" w:eastAsia="zh-CN"/>
        </w:rPr>
        <w:t>2020年度</w:t>
      </w:r>
      <w:r>
        <w:rPr>
          <w:rFonts w:hint="eastAsia" w:ascii="仿宋_GB2312" w:hAnsi="仿宋_GB2312" w:eastAsia="仿宋_GB2312" w:cs="仿宋_GB2312"/>
          <w:color w:val="auto"/>
          <w:sz w:val="32"/>
          <w:szCs w:val="32"/>
        </w:rPr>
        <w:t>组织对</w:t>
      </w:r>
      <w:r>
        <w:rPr>
          <w:rFonts w:hint="eastAsia" w:ascii="仿宋_GB2312" w:hAnsi="仿宋_GB2312" w:eastAsia="仿宋_GB2312" w:cs="仿宋_GB2312"/>
          <w:color w:val="auto"/>
          <w:sz w:val="32"/>
          <w:szCs w:val="32"/>
          <w:lang w:val="en-US" w:eastAsia="zh-CN"/>
        </w:rPr>
        <w:t>中小学幼儿园教师国家级培训计划项目、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新生代</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杂志编辑出版</w:t>
      </w:r>
      <w:r>
        <w:rPr>
          <w:rFonts w:hint="eastAsia" w:ascii="仿宋_GB2312" w:hAnsi="仿宋_GB2312" w:eastAsia="仿宋_GB2312" w:cs="仿宋_GB2312"/>
          <w:color w:val="auto"/>
          <w:sz w:val="32"/>
          <w:szCs w:val="32"/>
        </w:rPr>
        <w:t>项目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年终执行完毕后，开展了绩效目标完成情况自评。</w:t>
      </w:r>
    </w:p>
    <w:p>
      <w:pPr>
        <w:keepNext w:val="0"/>
        <w:keepLines w:val="0"/>
        <w:pageBreakBefore w:val="0"/>
        <w:kinsoku/>
        <w:wordWrap/>
        <w:overflowPunct/>
        <w:topLinePunct w:val="0"/>
        <w:autoSpaceDE/>
        <w:autoSpaceDN/>
        <w:bidi w:val="0"/>
        <w:adjustRightInd/>
        <w:snapToGrid/>
        <w:spacing w:line="580" w:lineRule="exact"/>
        <w:ind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本</w:t>
      </w:r>
      <w:r>
        <w:rPr>
          <w:rFonts w:hint="eastAsia" w:ascii="仿宋_GB2312" w:hAnsi="仿宋_GB2312" w:eastAsia="仿宋_GB2312" w:cs="仿宋_GB2312"/>
          <w:color w:val="auto"/>
          <w:sz w:val="32"/>
          <w:szCs w:val="32"/>
          <w:lang w:eastAsia="zh-CN"/>
        </w:rPr>
        <w:t>单位</w:t>
      </w:r>
      <w:r>
        <w:rPr>
          <w:rFonts w:hint="eastAsia" w:ascii="仿宋_GB2312" w:hAnsi="仿宋_GB2312" w:eastAsia="仿宋_GB2312" w:cs="仿宋_GB2312"/>
          <w:color w:val="auto"/>
          <w:sz w:val="32"/>
          <w:szCs w:val="32"/>
        </w:rPr>
        <w:t>按要求对20</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年整体支出开展绩效自</w:t>
      </w:r>
      <w:r>
        <w:rPr>
          <w:rFonts w:hint="eastAsia" w:ascii="仿宋_GB2312" w:hAnsi="仿宋_GB2312" w:eastAsia="仿宋_GB2312" w:cs="仿宋_GB2312"/>
          <w:color w:val="auto"/>
          <w:sz w:val="32"/>
          <w:szCs w:val="32"/>
          <w:lang w:val="en-US" w:eastAsia="zh-CN"/>
        </w:rPr>
        <w:t>评，在校领导班子的高度重视下，本着“合理编制，准确客观，实时监控”的原则，严格按照《四川省省级预算绩效运行监控管理暂行办法》（川财绩〔2017〕8 号）相关规定，在预算执行过程中，对预算项目实施进展、资金支出使用、项目效益情况与预期目标情况、会计核算信息等进行跟踪监控。绩效管理工作一直保持良性循环，取得了出色的成绩和良好的资金使用绩效，具体表现在：</w:t>
      </w:r>
    </w:p>
    <w:p>
      <w:pPr>
        <w:pStyle w:val="2"/>
        <w:keepNext w:val="0"/>
        <w:keepLines w:val="0"/>
        <w:pageBreakBefore w:val="0"/>
        <w:kinsoku/>
        <w:wordWrap/>
        <w:overflowPunct/>
        <w:topLinePunct w:val="0"/>
        <w:autoSpaceDE/>
        <w:autoSpaceDN/>
        <w:bidi w:val="0"/>
        <w:adjustRightInd/>
        <w:snapToGrid/>
        <w:ind w:right="0" w:firstLine="640"/>
        <w:jc w:val="both"/>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 xml:space="preserve">一是预算安排与事业发展要求相结合。我校预算项目设置依据共青团四川省委确定的工作要求和四川省财政厅项目批复要求，既按照“当年预算安排当年使用资金”的要求编制，又体现了我校工作职能和事业发展的需要。 </w:t>
      </w:r>
    </w:p>
    <w:p>
      <w:pPr>
        <w:pStyle w:val="2"/>
        <w:keepNext w:val="0"/>
        <w:keepLines w:val="0"/>
        <w:pageBreakBefore w:val="0"/>
        <w:kinsoku/>
        <w:wordWrap/>
        <w:overflowPunct/>
        <w:topLinePunct w:val="0"/>
        <w:autoSpaceDE/>
        <w:autoSpaceDN/>
        <w:bidi w:val="0"/>
        <w:adjustRightInd/>
        <w:snapToGrid/>
        <w:ind w:right="0" w:firstLine="640"/>
        <w:jc w:val="both"/>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二是与规范管理相结合。我校考核财政支出严格执行财经纪律和财务制度，一方面力争做到指向明确、细化量化、合理匹配和财力约束，另一方面力争做到认真细致组织财务核算，全程审核把关和监控。</w:t>
      </w:r>
    </w:p>
    <w:p>
      <w:pPr>
        <w:pStyle w:val="2"/>
        <w:keepNext w:val="0"/>
        <w:keepLines w:val="0"/>
        <w:pageBreakBefore w:val="0"/>
        <w:kinsoku/>
        <w:wordWrap/>
        <w:overflowPunct/>
        <w:topLinePunct w:val="0"/>
        <w:autoSpaceDE/>
        <w:autoSpaceDN/>
        <w:bidi w:val="0"/>
        <w:adjustRightInd/>
        <w:snapToGrid/>
        <w:ind w:right="0" w:firstLine="640"/>
        <w:jc w:val="both"/>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三是与支出效益相结合。我校合理配置财政预算资源，满足工作需要的同时，积极推进绩效预算管理制度化建设，提高财政资金使用绩效。我校还自行组织了 2 个项目支出 绩效评价，从评价情况来看，根据设定的绩效目标，对项目支出的经济性、效率性、效益性和公平性进行了客观、公正地测量、分析和评判。</w:t>
      </w:r>
    </w:p>
    <w:p>
      <w:pPr>
        <w:numPr>
          <w:ilvl w:val="0"/>
          <w:numId w:val="0"/>
        </w:numPr>
        <w:spacing w:line="580" w:lineRule="exact"/>
        <w:ind w:firstLine="643" w:firstLineChars="200"/>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b/>
          <w:bCs/>
          <w:color w:val="auto"/>
          <w:kern w:val="2"/>
          <w:sz w:val="32"/>
          <w:szCs w:val="32"/>
          <w:lang w:val="en-US" w:eastAsia="zh-CN" w:bidi="ar-SA"/>
        </w:rPr>
        <w:t>1.项目绩效目标完成情况。</w:t>
      </w:r>
    </w:p>
    <w:p>
      <w:pPr>
        <w:pStyle w:val="2"/>
        <w:keepNext w:val="0"/>
        <w:keepLines w:val="0"/>
        <w:pageBreakBefore w:val="0"/>
        <w:kinsoku/>
        <w:wordWrap/>
        <w:overflowPunct/>
        <w:topLinePunct w:val="0"/>
        <w:autoSpaceDE/>
        <w:autoSpaceDN/>
        <w:bidi w:val="0"/>
        <w:adjustRightInd/>
        <w:snapToGrid/>
        <w:ind w:right="0" w:firstLine="640"/>
        <w:jc w:val="both"/>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本单位在2020年度</w:t>
      </w:r>
      <w:r>
        <w:rPr>
          <w:rFonts w:hint="eastAsia" w:ascii="仿宋_GB2312" w:eastAsia="仿宋_GB2312" w:cs="Times New Roman"/>
          <w:color w:val="auto"/>
          <w:kern w:val="2"/>
          <w:sz w:val="32"/>
          <w:szCs w:val="32"/>
          <w:lang w:val="en-US" w:eastAsia="zh-CN" w:bidi="ar-SA"/>
        </w:rPr>
        <w:t>单位</w:t>
      </w:r>
      <w:r>
        <w:rPr>
          <w:rFonts w:hint="eastAsia" w:ascii="仿宋_GB2312" w:hAnsi="Times New Roman" w:eastAsia="仿宋_GB2312" w:cs="Times New Roman"/>
          <w:color w:val="auto"/>
          <w:kern w:val="2"/>
          <w:sz w:val="32"/>
          <w:szCs w:val="32"/>
          <w:lang w:val="en-US" w:eastAsia="zh-CN" w:bidi="ar-SA"/>
        </w:rPr>
        <w:t>决算中反映“中小学幼儿园教师国家级培训计划”、“《新生代》杂志编辑出版”2个项目绩效目标实际完成情况。</w:t>
      </w:r>
    </w:p>
    <w:p>
      <w:pPr>
        <w:pStyle w:val="2"/>
        <w:keepNext w:val="0"/>
        <w:keepLines w:val="0"/>
        <w:pageBreakBefore w:val="0"/>
        <w:kinsoku/>
        <w:wordWrap/>
        <w:overflowPunct/>
        <w:topLinePunct w:val="0"/>
        <w:autoSpaceDE/>
        <w:autoSpaceDN/>
        <w:bidi w:val="0"/>
        <w:adjustRightInd/>
        <w:snapToGrid/>
        <w:ind w:right="0" w:firstLine="640"/>
        <w:jc w:val="both"/>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1）中小学幼儿园教师国家级培训计划项目绩效目标完成情况综述。项目全年预算数100万元，执行数为100万元，完成预算的100%。四川省团校承担的2020年“国培”项目，共设置5期培训班，培训对象包括全省各市州的团支部书记和优秀中小学少先队辅导员，总计培训492人，</w:t>
      </w:r>
      <w:r>
        <w:rPr>
          <w:rFonts w:hint="default" w:ascii="仿宋_GB2312" w:hAnsi="Times New Roman" w:eastAsia="仿宋_GB2312" w:cs="Times New Roman"/>
          <w:color w:val="auto"/>
          <w:kern w:val="2"/>
          <w:sz w:val="32"/>
          <w:szCs w:val="32"/>
          <w:lang w:val="en-US" w:eastAsia="zh-CN" w:bidi="ar-SA"/>
        </w:rPr>
        <w:t>参训率98.4%</w:t>
      </w:r>
      <w:r>
        <w:rPr>
          <w:rFonts w:hint="eastAsia" w:ascii="仿宋_GB2312" w:hAnsi="Times New Roman" w:eastAsia="仿宋_GB2312" w:cs="Times New Roman"/>
          <w:color w:val="auto"/>
          <w:kern w:val="2"/>
          <w:sz w:val="32"/>
          <w:szCs w:val="32"/>
          <w:lang w:val="en-US" w:eastAsia="zh-CN" w:bidi="ar-SA"/>
        </w:rPr>
        <w:t>，政治培训课时不低于总课时的80%，建立了辅导员“岗前培训+在岗培训+专项培训”、“辅导员培训+师资培训”的分级培训体系。项目资金主要用于2020年“国培”项目5期培训班期间直接发生的各项费用支出，具体包括：住宿费、伙食费、培训场地及设备费、讲课费及指导费、培训资料费、交通费及其他费用等。通过项目实施，提高了参训员的政治站位，增强了参训学员的业务能力，提升了参训学员的引领示范能力，生成了一批优质的教学资源成果，同时对于促进新时期学校共青团改革、提升少先队辅导员政治素质、推进义务教育均衡发展具有重要意义。存在的主要问题：少数学员工学矛盾依然存在，我校后勤服务亟待提升。下一步改进措施：一方面进一步把握和诊断参训对象需求变动，全方位考虑参训的前置条件，及时调整培训方案，满足时代和专业发展要求；另一方面进一步拓展培训交流，学习借鉴优秀的经验做法，结合我校实际，取长补短，促进我校培训特色发展、创新发展。</w:t>
      </w:r>
    </w:p>
    <w:p>
      <w:pPr>
        <w:pStyle w:val="2"/>
        <w:keepNext w:val="0"/>
        <w:keepLines w:val="0"/>
        <w:pageBreakBefore w:val="0"/>
        <w:kinsoku/>
        <w:wordWrap/>
        <w:overflowPunct/>
        <w:topLinePunct w:val="0"/>
        <w:autoSpaceDE/>
        <w:autoSpaceDN/>
        <w:bidi w:val="0"/>
        <w:adjustRightInd/>
        <w:snapToGrid/>
        <w:ind w:right="0" w:firstLine="640"/>
        <w:jc w:val="both"/>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2）《新生代》杂志编辑出版项目绩效目标完成情况综述。项目全年预算数20万元，执行数为20万元，完成预算的100%。该项目经费主要用于《新生代》杂志出版编印、稿费支出、邮寄费、其他商品和服务及劳务费支出。该项目坚持以习近平新时代中国特色社会主义思想为统揽，以“关注党的指示、展示团的风貌、研究团青工作、聚焦主责主业”为目标，顺应了共青团中央改革关于“加强共青团智库建设”的重要要求和《中央团校改革方案》关于“厚植团校学术支撑”的重要举措，加强了青少年宣传思想文化教育研究力量，发挥了巩固阵地、展示成果、理论交流的平台作用，为共青团改革凝聚了来自理论界的共识，为推进共青团和青少年事业蓬勃发展提供了强大的智力支持。其中刊登的论文质量较高，对青少年的健康成长起到了很好的指导作用，团结引领了广大青少年积极投身治蜀兴川实践，青春心向党，建功新时代。2020年《新生代》项目出版6期期刊，刊发青少年学术论文论文79篇，任务完成量为100%，出版物编校质量符合相关要求，差错率在万分之二以内。存在的主要问题：《新生代》期刊为全国公开发行的连续性出版物（双月刊 全年6期），2020年度以前每年财政预算为25万元，2020年度起，财政预算紧缩，该项目预算缩减为20万元，经费较往年更为紧张。下一步改进措施：随着《新生代》期刊的美誉度、需求量增加，编辑部计划提高编印数量（从往年的每期1000册增加至每期2000册），相关成本费用会相应增加，我校将严格按照预算费用，一方面向财政争取更多项目资金。另一方面做好费用筹划，减少不必要支出。</w:t>
      </w:r>
    </w:p>
    <w:p>
      <w:pPr>
        <w:pStyle w:val="3"/>
        <w:rPr>
          <w:rFonts w:hint="eastAsia" w:ascii="仿宋_GB2312" w:hAnsi="Times New Roman" w:eastAsia="仿宋_GB2312" w:cs="Times New Roman"/>
          <w:color w:val="auto"/>
          <w:kern w:val="2"/>
          <w:sz w:val="32"/>
          <w:szCs w:val="32"/>
          <w:lang w:val="en-US" w:eastAsia="zh-CN" w:bidi="ar-SA"/>
        </w:rPr>
      </w:pPr>
    </w:p>
    <w:p>
      <w:pPr>
        <w:rPr>
          <w:rFonts w:hint="eastAsia" w:ascii="仿宋_GB2312" w:hAnsi="Times New Roman" w:eastAsia="仿宋_GB2312" w:cs="Times New Roman"/>
          <w:color w:val="auto"/>
          <w:kern w:val="2"/>
          <w:sz w:val="32"/>
          <w:szCs w:val="32"/>
          <w:lang w:val="en-US" w:eastAsia="zh-CN" w:bidi="ar-SA"/>
        </w:rPr>
      </w:pPr>
    </w:p>
    <w:p>
      <w:pPr>
        <w:pStyle w:val="7"/>
        <w:rPr>
          <w:rFonts w:hint="eastAsia" w:ascii="仿宋_GB2312" w:hAnsi="Times New Roman" w:eastAsia="仿宋_GB2312" w:cs="Times New Roman"/>
          <w:color w:val="auto"/>
          <w:kern w:val="2"/>
          <w:sz w:val="32"/>
          <w:szCs w:val="32"/>
          <w:lang w:val="en-US" w:eastAsia="zh-CN" w:bidi="ar-SA"/>
        </w:rPr>
      </w:pPr>
    </w:p>
    <w:p>
      <w:pPr>
        <w:pStyle w:val="7"/>
        <w:rPr>
          <w:rFonts w:hint="eastAsia" w:ascii="仿宋_GB2312" w:hAnsi="Times New Roman" w:eastAsia="仿宋_GB2312" w:cs="Times New Roman"/>
          <w:color w:val="auto"/>
          <w:kern w:val="2"/>
          <w:sz w:val="32"/>
          <w:szCs w:val="32"/>
          <w:lang w:val="en-US" w:eastAsia="zh-CN" w:bidi="ar-SA"/>
        </w:rPr>
      </w:pPr>
    </w:p>
    <w:tbl>
      <w:tblPr>
        <w:tblStyle w:val="17"/>
        <w:tblpPr w:leftFromText="180" w:rightFromText="180" w:vertAnchor="text" w:horzAnchor="page" w:tblpX="1019" w:tblpY="203"/>
        <w:tblOverlap w:val="never"/>
        <w:tblW w:w="9960" w:type="dxa"/>
        <w:jc w:val="center"/>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Layout w:type="fixed"/>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b/>
                <w:bCs/>
                <w:color w:val="auto"/>
                <w:kern w:val="0"/>
                <w:sz w:val="36"/>
                <w:szCs w:val="36"/>
                <w:lang w:eastAsia="zh-CN" w:bidi="ar"/>
              </w:rPr>
            </w:pPr>
            <w:r>
              <w:rPr>
                <w:rFonts w:hint="eastAsia" w:ascii="宋体" w:hAnsi="宋体" w:cs="宋体"/>
                <w:b/>
                <w:bCs/>
                <w:color w:val="auto"/>
                <w:kern w:val="0"/>
                <w:sz w:val="36"/>
                <w:szCs w:val="36"/>
                <w:lang w:bidi="ar"/>
              </w:rPr>
              <w:t>项目绩效目标完成情况表</w:t>
            </w:r>
          </w:p>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36"/>
                <w:szCs w:val="36"/>
              </w:rPr>
            </w:pPr>
            <w:r>
              <w:rPr>
                <w:rFonts w:hint="eastAsia" w:ascii="宋体" w:hAnsi="宋体" w:cs="宋体"/>
                <w:color w:val="auto"/>
                <w:kern w:val="0"/>
                <w:sz w:val="36"/>
                <w:szCs w:val="36"/>
                <w:lang w:bidi="ar"/>
              </w:rPr>
              <w:t>(20</w:t>
            </w:r>
            <w:r>
              <w:rPr>
                <w:rFonts w:hint="eastAsia" w:ascii="宋体" w:hAnsi="宋体" w:cs="宋体"/>
                <w:color w:val="auto"/>
                <w:kern w:val="0"/>
                <w:sz w:val="36"/>
                <w:szCs w:val="36"/>
                <w:lang w:val="en-US" w:eastAsia="zh-CN" w:bidi="ar"/>
              </w:rPr>
              <w:t>20</w:t>
            </w:r>
            <w:r>
              <w:rPr>
                <w:rFonts w:hint="eastAsia" w:ascii="宋体" w:hAnsi="宋体" w:cs="宋体"/>
                <w:color w:val="auto"/>
                <w:kern w:val="0"/>
                <w:sz w:val="36"/>
                <w:szCs w:val="36"/>
                <w:lang w:bidi="ar"/>
              </w:rPr>
              <w:t>年度)</w:t>
            </w:r>
          </w:p>
        </w:tc>
      </w:tr>
      <w:tr>
        <w:tblPrEx>
          <w:tblLayout w:type="fixed"/>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24"/>
              </w:rPr>
            </w:pPr>
            <w:r>
              <w:rPr>
                <w:rFonts w:hint="eastAsia" w:ascii="宋体" w:hAnsi="宋体" w:cs="宋体"/>
                <w:color w:val="auto"/>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24"/>
              </w:rPr>
            </w:pPr>
            <w:r>
              <w:rPr>
                <w:rFonts w:hint="eastAsia" w:ascii="宋体" w:hAnsi="宋体" w:cs="宋体"/>
                <w:color w:val="auto"/>
                <w:sz w:val="24"/>
                <w:lang w:val="en-US" w:eastAsia="zh-CN"/>
              </w:rPr>
              <w:t>中小学幼儿园教师国家级培训计划项目</w:t>
            </w:r>
          </w:p>
        </w:tc>
      </w:tr>
      <w:tr>
        <w:tblPrEx>
          <w:tblLayout w:type="fixed"/>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24"/>
              </w:rPr>
            </w:pPr>
            <w:r>
              <w:rPr>
                <w:rFonts w:hint="eastAsia" w:ascii="宋体" w:hAnsi="宋体" w:cs="宋体"/>
                <w:color w:val="auto"/>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中国共产主义青年团四川省团校</w:t>
            </w:r>
          </w:p>
        </w:tc>
      </w:tr>
      <w:tr>
        <w:tblPrEx>
          <w:tblLayout w:type="fixed"/>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24"/>
              </w:rPr>
            </w:pPr>
            <w:r>
              <w:rPr>
                <w:rFonts w:hint="eastAsia" w:ascii="宋体" w:hAnsi="宋体" w:cs="宋体"/>
                <w:color w:val="auto"/>
                <w:kern w:val="0"/>
                <w:sz w:val="24"/>
                <w:lang w:bidi="ar"/>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24"/>
              </w:rPr>
            </w:pPr>
            <w:r>
              <w:rPr>
                <w:rFonts w:hint="eastAsia" w:ascii="宋体" w:hAnsi="宋体" w:cs="宋体"/>
                <w:color w:val="auto"/>
                <w:kern w:val="0"/>
                <w:sz w:val="24"/>
                <w:lang w:bidi="ar"/>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100万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24"/>
              </w:rPr>
            </w:pPr>
            <w:r>
              <w:rPr>
                <w:rFonts w:hint="eastAsia" w:ascii="宋体" w:hAnsi="宋体" w:cs="宋体"/>
                <w:color w:val="auto"/>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100万</w:t>
            </w:r>
          </w:p>
        </w:tc>
      </w:tr>
      <w:tr>
        <w:tblPrEx>
          <w:tblLayout w:type="fixed"/>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ascii="宋体" w:hAnsi="宋体" w:cs="宋体"/>
                <w:color w:val="auto"/>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24"/>
              </w:rPr>
            </w:pPr>
            <w:r>
              <w:rPr>
                <w:rFonts w:hint="eastAsia" w:ascii="宋体" w:hAnsi="宋体" w:cs="宋体"/>
                <w:color w:val="auto"/>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100万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24"/>
              </w:rPr>
            </w:pPr>
            <w:r>
              <w:rPr>
                <w:rFonts w:hint="eastAsia" w:ascii="宋体" w:hAnsi="宋体" w:cs="宋体"/>
                <w:color w:val="auto"/>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100万</w:t>
            </w:r>
          </w:p>
        </w:tc>
      </w:tr>
      <w:tr>
        <w:tblPrEx>
          <w:tblLayout w:type="fixed"/>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ascii="宋体" w:hAnsi="宋体" w:cs="宋体"/>
                <w:color w:val="auto"/>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24"/>
              </w:rPr>
            </w:pPr>
            <w:r>
              <w:rPr>
                <w:rFonts w:hint="eastAsia" w:ascii="宋体" w:hAnsi="宋体" w:cs="宋体"/>
                <w:color w:val="auto"/>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24"/>
              </w:rPr>
            </w:pPr>
            <w:r>
              <w:rPr>
                <w:rFonts w:hint="eastAsia" w:ascii="宋体" w:hAnsi="宋体" w:cs="宋体"/>
                <w:color w:val="auto"/>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0</w:t>
            </w:r>
          </w:p>
        </w:tc>
      </w:tr>
      <w:tr>
        <w:tblPrEx>
          <w:tblLayout w:type="fixed"/>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24"/>
              </w:rPr>
            </w:pPr>
            <w:r>
              <w:rPr>
                <w:rFonts w:hint="eastAsia" w:ascii="宋体" w:hAnsi="宋体" w:cs="宋体"/>
                <w:color w:val="auto"/>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24"/>
              </w:rPr>
            </w:pPr>
            <w:r>
              <w:rPr>
                <w:rFonts w:hint="eastAsia" w:ascii="宋体" w:hAnsi="宋体" w:cs="宋体"/>
                <w:color w:val="auto"/>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24"/>
              </w:rPr>
            </w:pPr>
            <w:r>
              <w:rPr>
                <w:rFonts w:hint="eastAsia" w:ascii="宋体" w:hAnsi="宋体" w:cs="宋体"/>
                <w:color w:val="auto"/>
                <w:kern w:val="0"/>
                <w:sz w:val="24"/>
                <w:lang w:bidi="ar"/>
              </w:rPr>
              <w:t>实际完成目标</w:t>
            </w:r>
          </w:p>
        </w:tc>
      </w:tr>
      <w:tr>
        <w:tblPrEx>
          <w:tblLayout w:type="fixed"/>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ascii="宋体" w:hAnsi="宋体" w:cs="宋体"/>
                <w:color w:val="auto"/>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9"/>
              <w:keepNext w:val="0"/>
              <w:keepLines w:val="0"/>
              <w:pageBreakBefore w:val="0"/>
              <w:numPr>
                <w:ilvl w:val="0"/>
                <w:numId w:val="0"/>
              </w:numPr>
              <w:kinsoku/>
              <w:wordWrap/>
              <w:overflowPunct/>
              <w:topLinePunct w:val="0"/>
              <w:autoSpaceDE/>
              <w:autoSpaceDN/>
              <w:bidi w:val="0"/>
              <w:adjustRightInd w:val="0"/>
              <w:snapToGrid w:val="0"/>
              <w:ind w:firstLine="480" w:firstLineChars="200"/>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把握建设党在青年工作领域特色鲜明的政治学校这一根本定位，聚焦专兼职团干部、优秀少先队辅导员、青年志愿者、青少年工作者和社会组织等培训。努力为新时代党的青年群众工作和共青团建设提供人才智力支持。计划承训2020年“国培”项目，设置5期培训班，培训500人，参训率不得低于97%。</w:t>
            </w:r>
          </w:p>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24"/>
              </w:rPr>
            </w:pP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9"/>
              <w:keepNext w:val="0"/>
              <w:keepLines w:val="0"/>
              <w:pageBreakBefore w:val="0"/>
              <w:numPr>
                <w:ilvl w:val="0"/>
                <w:numId w:val="0"/>
              </w:numPr>
              <w:kinsoku/>
              <w:wordWrap/>
              <w:overflowPunct/>
              <w:topLinePunct w:val="0"/>
              <w:autoSpaceDE/>
              <w:autoSpaceDN/>
              <w:bidi w:val="0"/>
              <w:adjustRightInd w:val="0"/>
              <w:snapToGrid w:val="0"/>
              <w:ind w:firstLine="480" w:firstLineChars="200"/>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四川省团校按照《四川省2020年“国培计划”中西部和幼师国培项目实施方案》和《教育部财政部中小学幼儿园教师国家级培训专项资金管理办法》及《四川省教师及教育系统培训专项资金管理办法》等相关要求，根据四川省教育厅的项目委托，按期完成了四川省2020年“国培”5期培训班，实际参训人数492人，参训率为</w:t>
            </w:r>
            <w:r>
              <w:rPr>
                <w:rFonts w:hint="default" w:ascii="宋体" w:hAnsi="宋体" w:eastAsia="宋体" w:cs="宋体"/>
                <w:color w:val="auto"/>
                <w:kern w:val="0"/>
                <w:sz w:val="24"/>
                <w:szCs w:val="24"/>
                <w:lang w:val="en-US" w:eastAsia="zh-CN" w:bidi="ar"/>
              </w:rPr>
              <w:t>98.4%</w:t>
            </w:r>
            <w:r>
              <w:rPr>
                <w:rFonts w:hint="eastAsia" w:ascii="宋体" w:hAnsi="宋体" w:eastAsia="宋体" w:cs="宋体"/>
                <w:color w:val="auto"/>
                <w:kern w:val="0"/>
                <w:sz w:val="24"/>
                <w:szCs w:val="24"/>
                <w:lang w:val="en-US" w:eastAsia="zh-CN" w:bidi="ar"/>
              </w:rPr>
              <w:t>。锤炼了参训人员政治素养，提升了参训人员工作水平，拓宽了参训人员工作思路。</w:t>
            </w:r>
          </w:p>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24"/>
              </w:rPr>
            </w:pPr>
          </w:p>
        </w:tc>
      </w:tr>
      <w:tr>
        <w:tblPrEx>
          <w:tblLayout w:type="fixed"/>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24"/>
              </w:rPr>
            </w:pPr>
            <w:r>
              <w:rPr>
                <w:rFonts w:hint="eastAsia" w:ascii="宋体" w:hAnsi="宋体" w:cs="宋体"/>
                <w:color w:val="auto"/>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24"/>
              </w:rPr>
            </w:pPr>
            <w:r>
              <w:rPr>
                <w:rFonts w:hint="eastAsia" w:ascii="宋体" w:hAnsi="宋体" w:cs="宋体"/>
                <w:color w:val="auto"/>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24"/>
              </w:rPr>
            </w:pPr>
            <w:r>
              <w:rPr>
                <w:rFonts w:hint="eastAsia" w:ascii="宋体" w:hAnsi="宋体" w:cs="宋体"/>
                <w:color w:val="auto"/>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24"/>
              </w:rPr>
            </w:pPr>
            <w:r>
              <w:rPr>
                <w:rFonts w:hint="eastAsia" w:ascii="宋体" w:hAnsi="宋体" w:cs="宋体"/>
                <w:color w:val="auto"/>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24"/>
              </w:rPr>
            </w:pPr>
            <w:r>
              <w:rPr>
                <w:rFonts w:hint="eastAsia" w:ascii="宋体" w:hAnsi="宋体" w:cs="宋体"/>
                <w:color w:val="auto"/>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24"/>
              </w:rPr>
            </w:pPr>
            <w:r>
              <w:rPr>
                <w:rFonts w:hint="eastAsia" w:ascii="宋体" w:hAnsi="宋体" w:cs="宋体"/>
                <w:color w:val="auto"/>
                <w:kern w:val="0"/>
                <w:sz w:val="24"/>
                <w:lang w:bidi="ar"/>
              </w:rPr>
              <w:t>实际完成指标值(包含数字及文字描述)</w:t>
            </w:r>
          </w:p>
        </w:tc>
      </w:tr>
      <w:tr>
        <w:tblPrEx>
          <w:tblLayout w:type="fixed"/>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24"/>
              </w:rPr>
            </w:pPr>
            <w:r>
              <w:rPr>
                <w:rFonts w:hint="eastAsia" w:ascii="宋体" w:hAnsi="宋体" w:cs="宋体"/>
                <w:color w:val="auto"/>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培训班期数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5期</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5期</w:t>
            </w:r>
          </w:p>
        </w:tc>
      </w:tr>
      <w:tr>
        <w:tblPrEx>
          <w:tblLayout w:type="fixed"/>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24"/>
              </w:rPr>
            </w:pPr>
            <w:r>
              <w:rPr>
                <w:rFonts w:hint="eastAsia" w:ascii="宋体" w:hAnsi="宋体" w:cs="宋体"/>
                <w:color w:val="auto"/>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参训人数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500人</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492人</w:t>
            </w: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24"/>
              </w:rPr>
            </w:pPr>
            <w:r>
              <w:rPr>
                <w:rFonts w:hint="eastAsia" w:ascii="宋体" w:hAnsi="宋体" w:cs="宋体"/>
                <w:color w:val="auto"/>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参训率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宋体" w:hAnsi="宋体" w:eastAsia="宋体" w:cs="宋体"/>
                <w:color w:val="auto"/>
                <w:sz w:val="24"/>
                <w:lang w:val="en-US" w:eastAsia="zh-CN"/>
              </w:rPr>
            </w:pPr>
            <w:r>
              <w:rPr>
                <w:rFonts w:hint="default" w:ascii="Arial" w:hAnsi="Arial" w:eastAsia="宋体" w:cs="Arial"/>
                <w:color w:val="auto"/>
                <w:sz w:val="24"/>
                <w:lang w:eastAsia="zh-CN"/>
              </w:rPr>
              <w:t>≥</w:t>
            </w:r>
            <w:r>
              <w:rPr>
                <w:rFonts w:hint="eastAsia" w:ascii="宋体" w:hAnsi="宋体" w:cs="宋体"/>
                <w:color w:val="auto"/>
                <w:sz w:val="24"/>
                <w:lang w:val="en-US" w:eastAsia="zh-CN"/>
              </w:rPr>
              <w:t>97%</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98.4%</w:t>
            </w: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政治培训课</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24"/>
              </w:rPr>
            </w:pPr>
            <w:r>
              <w:rPr>
                <w:rFonts w:hint="default" w:ascii="Arial" w:hAnsi="Arial" w:eastAsia="宋体" w:cs="Arial"/>
                <w:color w:val="auto"/>
                <w:sz w:val="24"/>
                <w:lang w:eastAsia="zh-CN"/>
              </w:rPr>
              <w:t>≥</w:t>
            </w:r>
            <w:r>
              <w:rPr>
                <w:rFonts w:hint="eastAsia" w:ascii="Arial" w:hAnsi="Arial" w:cs="Arial"/>
                <w:color w:val="auto"/>
                <w:sz w:val="24"/>
                <w:lang w:val="en-US" w:eastAsia="zh-CN"/>
              </w:rPr>
              <w:t>80</w:t>
            </w:r>
            <w:r>
              <w:rPr>
                <w:rFonts w:hint="eastAsia" w:ascii="宋体" w:hAnsi="宋体" w:cs="宋体"/>
                <w:color w:val="auto"/>
                <w:sz w:val="24"/>
                <w:lang w:val="en-US"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24"/>
              </w:rPr>
            </w:pPr>
            <w:r>
              <w:rPr>
                <w:rFonts w:hint="default" w:ascii="Arial" w:hAnsi="Arial" w:eastAsia="宋体" w:cs="Arial"/>
                <w:color w:val="auto"/>
                <w:sz w:val="24"/>
                <w:lang w:eastAsia="zh-CN"/>
              </w:rPr>
              <w:t>≥</w:t>
            </w:r>
            <w:r>
              <w:rPr>
                <w:rFonts w:hint="eastAsia" w:ascii="Arial" w:hAnsi="Arial" w:cs="Arial"/>
                <w:color w:val="auto"/>
                <w:sz w:val="24"/>
                <w:lang w:val="en-US" w:eastAsia="zh-CN"/>
              </w:rPr>
              <w:t>80</w:t>
            </w:r>
            <w:r>
              <w:rPr>
                <w:rFonts w:hint="eastAsia" w:ascii="宋体" w:hAnsi="宋体" w:cs="宋体"/>
                <w:color w:val="auto"/>
                <w:sz w:val="24"/>
                <w:lang w:val="en-US" w:eastAsia="zh-CN"/>
              </w:rPr>
              <w:t>%</w:t>
            </w: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24"/>
              </w:rPr>
            </w:pPr>
            <w:r>
              <w:rPr>
                <w:rFonts w:hint="eastAsia" w:ascii="宋体" w:hAnsi="宋体" w:cs="宋体"/>
                <w:color w:val="auto"/>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auto"/>
                <w:sz w:val="24"/>
                <w:lang w:val="en-US" w:eastAsia="zh-CN"/>
              </w:rPr>
            </w:pPr>
            <w:r>
              <w:rPr>
                <w:rFonts w:hint="eastAsia" w:ascii="宋体" w:hAnsi="宋体" w:cs="宋体"/>
                <w:color w:val="auto"/>
                <w:sz w:val="24"/>
                <w:lang w:val="en-US" w:eastAsia="zh-CN"/>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auto"/>
                <w:sz w:val="24"/>
                <w:lang w:val="en-US" w:eastAsia="zh-CN"/>
              </w:rPr>
            </w:pPr>
            <w:r>
              <w:rPr>
                <w:rFonts w:hint="eastAsia" w:ascii="宋体" w:hAnsi="宋体" w:cs="宋体"/>
                <w:color w:val="auto"/>
                <w:sz w:val="24"/>
                <w:lang w:val="en-US" w:eastAsia="zh-CN"/>
              </w:rPr>
              <w:t>为新时代党的青年群众工作和共青团建设提供人才智力支持</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24"/>
              </w:rPr>
            </w:pPr>
            <w:r>
              <w:rPr>
                <w:rFonts w:hint="eastAsia" w:ascii="宋体" w:hAnsi="宋体" w:cs="宋体"/>
                <w:color w:val="auto"/>
                <w:sz w:val="24"/>
                <w:lang w:val="en-US" w:eastAsia="zh-CN"/>
              </w:rPr>
              <w:t>促进新时期学校共青团改革、提升参训人员政治素质、推进义务教育均衡发展。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已完成</w:t>
            </w:r>
          </w:p>
        </w:tc>
      </w:tr>
      <w:tr>
        <w:tblPrEx>
          <w:tblLayout w:type="fixed"/>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24"/>
              </w:rPr>
            </w:pPr>
            <w:r>
              <w:rPr>
                <w:rFonts w:hint="eastAsia" w:ascii="宋体" w:hAnsi="宋体" w:cs="宋体"/>
                <w:color w:val="auto"/>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项目影响年限</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24"/>
              </w:rPr>
            </w:pPr>
            <w:r>
              <w:rPr>
                <w:rFonts w:ascii="宋体" w:hAnsi="宋体" w:eastAsia="宋体" w:cs="宋体"/>
                <w:sz w:val="24"/>
                <w:szCs w:val="24"/>
              </w:rPr>
              <w:t>≥3 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24"/>
              </w:rPr>
            </w:pPr>
            <w:r>
              <w:rPr>
                <w:rFonts w:ascii="宋体" w:hAnsi="宋体" w:eastAsia="宋体" w:cs="宋体"/>
                <w:sz w:val="24"/>
                <w:szCs w:val="24"/>
              </w:rPr>
              <w:t>≥3 年</w:t>
            </w:r>
          </w:p>
        </w:tc>
      </w:tr>
      <w:tr>
        <w:tblPrEx>
          <w:tblLayout w:type="fixed"/>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24"/>
              </w:rPr>
            </w:pPr>
            <w:r>
              <w:rPr>
                <w:rFonts w:hint="eastAsia" w:ascii="宋体" w:hAnsi="宋体" w:cs="宋体"/>
                <w:color w:val="auto"/>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服务对象满意度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24"/>
              </w:rPr>
            </w:pPr>
            <w:r>
              <w:rPr>
                <w:rFonts w:hint="default" w:ascii="Arial" w:hAnsi="Arial" w:eastAsia="宋体" w:cs="Arial"/>
                <w:color w:val="auto"/>
                <w:sz w:val="24"/>
                <w:lang w:eastAsia="zh-CN"/>
              </w:rPr>
              <w:t>≥</w:t>
            </w:r>
            <w:r>
              <w:rPr>
                <w:rFonts w:hint="eastAsia" w:ascii="Arial" w:hAnsi="Arial" w:cs="Arial"/>
                <w:color w:val="auto"/>
                <w:sz w:val="24"/>
                <w:lang w:val="en-US" w:eastAsia="zh-CN"/>
              </w:rPr>
              <w:t>90</w:t>
            </w:r>
            <w:r>
              <w:rPr>
                <w:rFonts w:hint="eastAsia" w:ascii="宋体" w:hAnsi="宋体" w:cs="宋体"/>
                <w:color w:val="auto"/>
                <w:sz w:val="24"/>
                <w:lang w:val="en-US"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24"/>
              </w:rPr>
            </w:pPr>
            <w:r>
              <w:rPr>
                <w:rFonts w:hint="default" w:ascii="Arial" w:hAnsi="Arial" w:eastAsia="宋体" w:cs="Arial"/>
                <w:color w:val="auto"/>
                <w:sz w:val="24"/>
                <w:lang w:eastAsia="zh-CN"/>
              </w:rPr>
              <w:t>≥</w:t>
            </w:r>
            <w:r>
              <w:rPr>
                <w:rFonts w:hint="eastAsia" w:ascii="Arial" w:hAnsi="Arial" w:cs="Arial"/>
                <w:color w:val="auto"/>
                <w:sz w:val="24"/>
                <w:lang w:val="en-US" w:eastAsia="zh-CN"/>
              </w:rPr>
              <w:t>90</w:t>
            </w:r>
            <w:r>
              <w:rPr>
                <w:rFonts w:hint="eastAsia" w:ascii="宋体" w:hAnsi="宋体" w:cs="宋体"/>
                <w:color w:val="auto"/>
                <w:sz w:val="24"/>
                <w:lang w:val="en-US" w:eastAsia="zh-CN"/>
              </w:rPr>
              <w:t>%</w:t>
            </w:r>
          </w:p>
        </w:tc>
      </w:tr>
    </w:tbl>
    <w:p>
      <w:pPr>
        <w:pStyle w:val="7"/>
        <w:rPr>
          <w:rFonts w:ascii="仿宋_GB2312" w:hAnsi="仿宋_GB2312" w:eastAsia="仿宋_GB2312" w:cs="仿宋_GB2312"/>
          <w:color w:val="auto"/>
          <w:sz w:val="32"/>
          <w:szCs w:val="32"/>
        </w:rPr>
      </w:pPr>
    </w:p>
    <w:p>
      <w:pPr>
        <w:pStyle w:val="7"/>
        <w:rPr>
          <w:rFonts w:ascii="仿宋_GB2312" w:hAnsi="仿宋_GB2312" w:eastAsia="仿宋_GB2312" w:cs="仿宋_GB2312"/>
          <w:color w:val="auto"/>
          <w:sz w:val="32"/>
          <w:szCs w:val="32"/>
        </w:rPr>
      </w:pPr>
    </w:p>
    <w:p>
      <w:pPr>
        <w:pStyle w:val="7"/>
        <w:rPr>
          <w:rFonts w:ascii="仿宋_GB2312" w:hAnsi="仿宋_GB2312" w:eastAsia="仿宋_GB2312" w:cs="仿宋_GB2312"/>
          <w:color w:val="auto"/>
          <w:sz w:val="32"/>
          <w:szCs w:val="32"/>
        </w:rPr>
      </w:pPr>
    </w:p>
    <w:p>
      <w:pPr>
        <w:pStyle w:val="7"/>
        <w:rPr>
          <w:rFonts w:ascii="仿宋_GB2312" w:hAnsi="仿宋_GB2312" w:eastAsia="仿宋_GB2312" w:cs="仿宋_GB2312"/>
          <w:color w:val="auto"/>
          <w:sz w:val="32"/>
          <w:szCs w:val="32"/>
        </w:rPr>
      </w:pPr>
    </w:p>
    <w:p>
      <w:pPr>
        <w:pStyle w:val="7"/>
        <w:rPr>
          <w:rFonts w:ascii="仿宋_GB2312" w:hAnsi="仿宋_GB2312" w:eastAsia="仿宋_GB2312" w:cs="仿宋_GB2312"/>
          <w:color w:val="auto"/>
          <w:sz w:val="32"/>
          <w:szCs w:val="32"/>
        </w:rPr>
      </w:pPr>
    </w:p>
    <w:p>
      <w:pPr>
        <w:pStyle w:val="7"/>
        <w:rPr>
          <w:rFonts w:ascii="仿宋_GB2312" w:hAnsi="仿宋_GB2312" w:eastAsia="仿宋_GB2312" w:cs="仿宋_GB2312"/>
          <w:color w:val="auto"/>
          <w:sz w:val="32"/>
          <w:szCs w:val="32"/>
        </w:rPr>
      </w:pPr>
    </w:p>
    <w:p>
      <w:pPr>
        <w:pStyle w:val="7"/>
        <w:rPr>
          <w:rFonts w:ascii="仿宋_GB2312" w:hAnsi="仿宋_GB2312" w:eastAsia="仿宋_GB2312" w:cs="仿宋_GB2312"/>
          <w:color w:val="auto"/>
          <w:sz w:val="32"/>
          <w:szCs w:val="32"/>
        </w:rPr>
      </w:pPr>
    </w:p>
    <w:p>
      <w:pPr>
        <w:pStyle w:val="7"/>
        <w:rPr>
          <w:rFonts w:ascii="仿宋_GB2312" w:hAnsi="仿宋_GB2312" w:eastAsia="仿宋_GB2312" w:cs="仿宋_GB2312"/>
          <w:color w:val="auto"/>
          <w:sz w:val="32"/>
          <w:szCs w:val="32"/>
        </w:rPr>
      </w:pPr>
    </w:p>
    <w:p>
      <w:pPr>
        <w:pStyle w:val="7"/>
        <w:rPr>
          <w:rFonts w:ascii="仿宋_GB2312" w:hAnsi="仿宋_GB2312" w:eastAsia="仿宋_GB2312" w:cs="仿宋_GB2312"/>
          <w:color w:val="auto"/>
          <w:sz w:val="32"/>
          <w:szCs w:val="32"/>
        </w:rPr>
      </w:pPr>
    </w:p>
    <w:tbl>
      <w:tblPr>
        <w:tblStyle w:val="17"/>
        <w:tblpPr w:leftFromText="180" w:rightFromText="180" w:vertAnchor="text" w:horzAnchor="page" w:tblpX="1019" w:tblpY="203"/>
        <w:tblOverlap w:val="never"/>
        <w:tblW w:w="9960" w:type="dxa"/>
        <w:jc w:val="center"/>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Layout w:type="fixed"/>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b/>
                <w:bCs/>
                <w:color w:val="auto"/>
                <w:kern w:val="0"/>
                <w:sz w:val="36"/>
                <w:szCs w:val="36"/>
                <w:lang w:eastAsia="zh-CN" w:bidi="ar"/>
              </w:rPr>
            </w:pPr>
            <w:r>
              <w:rPr>
                <w:rFonts w:hint="eastAsia" w:ascii="宋体" w:hAnsi="宋体" w:cs="宋体"/>
                <w:b/>
                <w:bCs/>
                <w:color w:val="auto"/>
                <w:kern w:val="0"/>
                <w:sz w:val="36"/>
                <w:szCs w:val="36"/>
                <w:lang w:bidi="ar"/>
              </w:rPr>
              <w:t>项目绩效目标完成情况表</w:t>
            </w:r>
          </w:p>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36"/>
                <w:szCs w:val="36"/>
              </w:rPr>
            </w:pPr>
            <w:r>
              <w:rPr>
                <w:rFonts w:hint="eastAsia" w:ascii="宋体" w:hAnsi="宋体" w:cs="宋体"/>
                <w:color w:val="auto"/>
                <w:kern w:val="0"/>
                <w:sz w:val="36"/>
                <w:szCs w:val="36"/>
                <w:lang w:bidi="ar"/>
              </w:rPr>
              <w:t>(20</w:t>
            </w:r>
            <w:r>
              <w:rPr>
                <w:rFonts w:hint="eastAsia" w:ascii="宋体" w:hAnsi="宋体" w:cs="宋体"/>
                <w:color w:val="auto"/>
                <w:kern w:val="0"/>
                <w:sz w:val="36"/>
                <w:szCs w:val="36"/>
                <w:lang w:val="en-US" w:eastAsia="zh-CN" w:bidi="ar"/>
              </w:rPr>
              <w:t>20</w:t>
            </w:r>
            <w:r>
              <w:rPr>
                <w:rFonts w:hint="eastAsia" w:ascii="宋体" w:hAnsi="宋体" w:cs="宋体"/>
                <w:color w:val="auto"/>
                <w:kern w:val="0"/>
                <w:sz w:val="36"/>
                <w:szCs w:val="36"/>
                <w:lang w:bidi="ar"/>
              </w:rPr>
              <w:t>年度)</w:t>
            </w:r>
          </w:p>
        </w:tc>
      </w:tr>
      <w:tr>
        <w:tblPrEx>
          <w:tblLayout w:type="fixed"/>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24"/>
              </w:rPr>
            </w:pPr>
            <w:r>
              <w:rPr>
                <w:rFonts w:hint="eastAsia" w:ascii="宋体" w:hAnsi="宋体" w:cs="宋体"/>
                <w:color w:val="auto"/>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24"/>
              </w:rPr>
            </w:pPr>
            <w:r>
              <w:rPr>
                <w:rFonts w:hint="eastAsia" w:ascii="宋体" w:hAnsi="宋体" w:cs="宋体"/>
                <w:color w:val="auto"/>
                <w:sz w:val="24"/>
                <w:lang w:val="en-US" w:eastAsia="zh-CN"/>
              </w:rPr>
              <w:t>《新生代》杂志编辑出版项目</w:t>
            </w:r>
          </w:p>
        </w:tc>
      </w:tr>
      <w:tr>
        <w:tblPrEx>
          <w:tblLayout w:type="fixed"/>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24"/>
              </w:rPr>
            </w:pPr>
            <w:r>
              <w:rPr>
                <w:rFonts w:hint="eastAsia" w:ascii="宋体" w:hAnsi="宋体" w:cs="宋体"/>
                <w:color w:val="auto"/>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中国共产主义青年团四川省团校</w:t>
            </w:r>
          </w:p>
        </w:tc>
      </w:tr>
      <w:tr>
        <w:tblPrEx>
          <w:tblLayout w:type="fixed"/>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24"/>
              </w:rPr>
            </w:pPr>
            <w:r>
              <w:rPr>
                <w:rFonts w:hint="eastAsia" w:ascii="宋体" w:hAnsi="宋体" w:cs="宋体"/>
                <w:color w:val="auto"/>
                <w:kern w:val="0"/>
                <w:sz w:val="24"/>
                <w:lang w:bidi="ar"/>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24"/>
              </w:rPr>
            </w:pPr>
            <w:r>
              <w:rPr>
                <w:rFonts w:hint="eastAsia" w:ascii="宋体" w:hAnsi="宋体" w:cs="宋体"/>
                <w:color w:val="auto"/>
                <w:kern w:val="0"/>
                <w:sz w:val="24"/>
                <w:lang w:bidi="ar"/>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20万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24"/>
              </w:rPr>
            </w:pPr>
            <w:r>
              <w:rPr>
                <w:rFonts w:hint="eastAsia" w:ascii="宋体" w:hAnsi="宋体" w:cs="宋体"/>
                <w:color w:val="auto"/>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20万</w:t>
            </w:r>
          </w:p>
        </w:tc>
      </w:tr>
      <w:tr>
        <w:tblPrEx>
          <w:tblLayout w:type="fixed"/>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ascii="宋体" w:hAnsi="宋体" w:cs="宋体"/>
                <w:color w:val="auto"/>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24"/>
              </w:rPr>
            </w:pPr>
            <w:r>
              <w:rPr>
                <w:rFonts w:hint="eastAsia" w:ascii="宋体" w:hAnsi="宋体" w:cs="宋体"/>
                <w:color w:val="auto"/>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20万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24"/>
              </w:rPr>
            </w:pPr>
            <w:r>
              <w:rPr>
                <w:rFonts w:hint="eastAsia" w:ascii="宋体" w:hAnsi="宋体" w:cs="宋体"/>
                <w:color w:val="auto"/>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20万</w:t>
            </w:r>
          </w:p>
        </w:tc>
      </w:tr>
      <w:tr>
        <w:tblPrEx>
          <w:tblLayout w:type="fixed"/>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ascii="宋体" w:hAnsi="宋体" w:cs="宋体"/>
                <w:color w:val="auto"/>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24"/>
              </w:rPr>
            </w:pPr>
            <w:r>
              <w:rPr>
                <w:rFonts w:hint="eastAsia" w:ascii="宋体" w:hAnsi="宋体" w:cs="宋体"/>
                <w:color w:val="auto"/>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24"/>
              </w:rPr>
            </w:pPr>
            <w:r>
              <w:rPr>
                <w:rFonts w:hint="eastAsia" w:ascii="宋体" w:hAnsi="宋体" w:cs="宋体"/>
                <w:color w:val="auto"/>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0</w:t>
            </w:r>
          </w:p>
        </w:tc>
      </w:tr>
      <w:tr>
        <w:tblPrEx>
          <w:tblLayout w:type="fixed"/>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24"/>
              </w:rPr>
            </w:pPr>
            <w:r>
              <w:rPr>
                <w:rFonts w:hint="eastAsia" w:ascii="宋体" w:hAnsi="宋体" w:cs="宋体"/>
                <w:color w:val="auto"/>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24"/>
              </w:rPr>
            </w:pPr>
            <w:r>
              <w:rPr>
                <w:rFonts w:hint="eastAsia" w:ascii="宋体" w:hAnsi="宋体" w:cs="宋体"/>
                <w:color w:val="auto"/>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24"/>
              </w:rPr>
            </w:pPr>
            <w:r>
              <w:rPr>
                <w:rFonts w:hint="eastAsia" w:ascii="宋体" w:hAnsi="宋体" w:cs="宋体"/>
                <w:color w:val="auto"/>
                <w:kern w:val="0"/>
                <w:sz w:val="24"/>
                <w:lang w:bidi="ar"/>
              </w:rPr>
              <w:t>实际完成目标</w:t>
            </w:r>
          </w:p>
        </w:tc>
      </w:tr>
      <w:tr>
        <w:tblPrEx>
          <w:tblLayout w:type="fixed"/>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ascii="宋体" w:hAnsi="宋体" w:cs="宋体"/>
                <w:color w:val="auto"/>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24"/>
              </w:rPr>
            </w:pPr>
            <w:r>
              <w:rPr>
                <w:rFonts w:hint="eastAsia" w:ascii="宋体" w:hAnsi="宋体" w:cs="宋体"/>
                <w:color w:val="auto"/>
                <w:sz w:val="24"/>
                <w:lang w:val="en-US" w:eastAsia="zh-CN"/>
              </w:rPr>
              <w:t>连续出版《新生代》期刊（双月刊）全年6期共计6000册，2020年社会效益考评结果合格。</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24"/>
              </w:rPr>
            </w:pPr>
            <w:r>
              <w:rPr>
                <w:rFonts w:hint="eastAsia" w:ascii="宋体" w:hAnsi="宋体" w:cs="宋体"/>
                <w:color w:val="auto"/>
                <w:sz w:val="24"/>
                <w:lang w:val="en-US" w:eastAsia="zh-CN"/>
              </w:rPr>
              <w:t>全年连续出版《新生代》期刊6期，共计6000册，2020年期刊社会效益考评得分82分，考评结果为“良好”。</w:t>
            </w:r>
          </w:p>
        </w:tc>
      </w:tr>
      <w:tr>
        <w:tblPrEx>
          <w:tblLayout w:type="fixed"/>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24"/>
              </w:rPr>
            </w:pPr>
            <w:r>
              <w:rPr>
                <w:rFonts w:hint="eastAsia" w:ascii="宋体" w:hAnsi="宋体" w:cs="宋体"/>
                <w:color w:val="auto"/>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24"/>
              </w:rPr>
            </w:pPr>
            <w:r>
              <w:rPr>
                <w:rFonts w:hint="eastAsia" w:ascii="宋体" w:hAnsi="宋体" w:cs="宋体"/>
                <w:color w:val="auto"/>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24"/>
              </w:rPr>
            </w:pPr>
            <w:r>
              <w:rPr>
                <w:rFonts w:hint="eastAsia" w:ascii="宋体" w:hAnsi="宋体" w:cs="宋体"/>
                <w:color w:val="auto"/>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24"/>
              </w:rPr>
            </w:pPr>
            <w:r>
              <w:rPr>
                <w:rFonts w:hint="eastAsia" w:ascii="宋体" w:hAnsi="宋体" w:cs="宋体"/>
                <w:color w:val="auto"/>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24"/>
              </w:rPr>
            </w:pPr>
            <w:r>
              <w:rPr>
                <w:rFonts w:hint="eastAsia" w:ascii="宋体" w:hAnsi="宋体" w:cs="宋体"/>
                <w:color w:val="auto"/>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24"/>
              </w:rPr>
            </w:pPr>
            <w:r>
              <w:rPr>
                <w:rFonts w:hint="eastAsia" w:ascii="宋体" w:hAnsi="宋体" w:cs="宋体"/>
                <w:color w:val="auto"/>
                <w:kern w:val="0"/>
                <w:sz w:val="24"/>
                <w:lang w:bidi="ar"/>
              </w:rPr>
              <w:t>实际完成指标值(包含数字及文字描述)</w:t>
            </w:r>
          </w:p>
        </w:tc>
      </w:tr>
      <w:tr>
        <w:tblPrEx>
          <w:tblLayout w:type="fixed"/>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24"/>
              </w:rPr>
            </w:pPr>
            <w:r>
              <w:rPr>
                <w:rFonts w:hint="eastAsia" w:ascii="宋体" w:hAnsi="宋体" w:cs="宋体"/>
                <w:color w:val="auto"/>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ind w:firstLine="720" w:firstLineChars="300"/>
              <w:jc w:val="both"/>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出版期数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6期</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6期</w:t>
            </w:r>
          </w:p>
        </w:tc>
      </w:tr>
      <w:tr>
        <w:tblPrEx>
          <w:tblLayout w:type="fixed"/>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24"/>
              </w:rPr>
            </w:pPr>
            <w:r>
              <w:rPr>
                <w:rFonts w:hint="eastAsia" w:ascii="宋体" w:hAnsi="宋体" w:cs="宋体"/>
                <w:color w:val="auto"/>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编印册数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6000册</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6000册</w:t>
            </w: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both"/>
              <w:textAlignment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 xml:space="preserve">    刊发论文数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宋体" w:hAnsi="宋体" w:cs="宋体"/>
                <w:color w:val="auto"/>
                <w:sz w:val="24"/>
                <w:lang w:val="en-US"/>
              </w:rPr>
            </w:pPr>
            <w:r>
              <w:rPr>
                <w:rFonts w:hint="default" w:ascii="Arial" w:hAnsi="Arial" w:eastAsia="宋体" w:cs="Arial"/>
                <w:color w:val="auto"/>
                <w:sz w:val="24"/>
                <w:lang w:eastAsia="zh-CN"/>
              </w:rPr>
              <w:t>≥</w:t>
            </w:r>
            <w:r>
              <w:rPr>
                <w:rFonts w:hint="eastAsia" w:ascii="Arial" w:hAnsi="Arial" w:cs="Arial"/>
                <w:color w:val="auto"/>
                <w:sz w:val="24"/>
                <w:lang w:val="en-US" w:eastAsia="zh-CN"/>
              </w:rPr>
              <w:t>60篇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79篇</w:t>
            </w: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cs="宋体"/>
                <w:color w:val="auto"/>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差错率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both"/>
              <w:textAlignment w:val="center"/>
              <w:rPr>
                <w:rFonts w:hint="default"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 xml:space="preserve">       </w:t>
            </w:r>
            <w:r>
              <w:rPr>
                <w:rFonts w:hint="default" w:ascii="Arial" w:hAnsi="Arial" w:cs="Arial"/>
                <w:color w:val="auto"/>
                <w:sz w:val="24"/>
                <w:lang w:val="en-US" w:eastAsia="zh-CN"/>
              </w:rPr>
              <w:t>≤</w:t>
            </w:r>
            <w:r>
              <w:rPr>
                <w:rFonts w:hint="eastAsia" w:ascii="宋体" w:hAnsi="宋体" w:cs="宋体"/>
                <w:color w:val="auto"/>
                <w:sz w:val="24"/>
                <w:lang w:val="en-US" w:eastAsia="zh-CN"/>
              </w:rPr>
              <w:t>0.2</w:t>
            </w:r>
            <w:r>
              <w:rPr>
                <w:rFonts w:hint="default" w:ascii="Arial" w:hAnsi="Arial" w:cs="Arial"/>
                <w:color w:val="auto"/>
                <w:sz w:val="24"/>
                <w:lang w:val="en-US"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kern w:val="2"/>
                <w:sz w:val="24"/>
                <w:szCs w:val="24"/>
                <w:lang w:val="en-US" w:eastAsia="zh-CN" w:bidi="ar-SA"/>
              </w:rPr>
            </w:pPr>
            <w:r>
              <w:rPr>
                <w:rFonts w:hint="default" w:ascii="Arial" w:hAnsi="Arial" w:cs="Arial"/>
                <w:color w:val="auto"/>
                <w:sz w:val="24"/>
                <w:lang w:val="en-US" w:eastAsia="zh-CN"/>
              </w:rPr>
              <w:t>≤</w:t>
            </w:r>
            <w:r>
              <w:rPr>
                <w:rFonts w:hint="eastAsia" w:ascii="宋体" w:hAnsi="宋体" w:cs="宋体"/>
                <w:color w:val="auto"/>
                <w:sz w:val="24"/>
                <w:lang w:val="en-US" w:eastAsia="zh-CN"/>
              </w:rPr>
              <w:t>0.2</w:t>
            </w:r>
            <w:r>
              <w:rPr>
                <w:rFonts w:hint="default" w:ascii="Arial" w:hAnsi="Arial" w:cs="Arial"/>
                <w:color w:val="auto"/>
                <w:sz w:val="24"/>
                <w:lang w:val="en-US" w:eastAsia="zh-CN"/>
              </w:rPr>
              <w:t>‰</w:t>
            </w: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24"/>
              </w:rPr>
            </w:pPr>
            <w:r>
              <w:rPr>
                <w:rFonts w:hint="eastAsia" w:ascii="宋体" w:hAnsi="宋体" w:cs="宋体"/>
                <w:color w:val="auto"/>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auto"/>
                <w:sz w:val="24"/>
                <w:lang w:val="en-US" w:eastAsia="zh-CN"/>
              </w:rPr>
            </w:pPr>
            <w:r>
              <w:rPr>
                <w:rFonts w:hint="eastAsia" w:ascii="宋体" w:hAnsi="宋体" w:cs="宋体"/>
                <w:color w:val="auto"/>
                <w:sz w:val="24"/>
                <w:lang w:val="en-US" w:eastAsia="zh-CN"/>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pageBreakBefore w:val="0"/>
              <w:kinsoku/>
              <w:wordWrap/>
              <w:overflowPunct/>
              <w:topLinePunct w:val="0"/>
              <w:autoSpaceDE/>
              <w:autoSpaceDN/>
              <w:bidi w:val="0"/>
              <w:adjustRightInd w:val="0"/>
              <w:snapToGrid w:val="0"/>
              <w:spacing w:line="240" w:lineRule="atLeast"/>
              <w:jc w:val="both"/>
              <w:textAlignment w:val="auto"/>
              <w:rPr>
                <w:rFonts w:hint="default" w:ascii="仿宋_GB2312" w:hAnsi="宋体" w:eastAsia="楷体_GB2312"/>
                <w:color w:val="auto"/>
                <w:sz w:val="32"/>
                <w:szCs w:val="32"/>
                <w:lang w:val="en-US" w:eastAsia="zh-CN"/>
              </w:rPr>
            </w:pPr>
            <w:r>
              <w:rPr>
                <w:rFonts w:hint="eastAsia" w:ascii="宋体" w:hAnsi="宋体" w:cs="宋体"/>
                <w:color w:val="auto"/>
                <w:sz w:val="24"/>
                <w:lang w:val="en-US" w:eastAsia="zh-CN"/>
              </w:rPr>
              <w:t>在期刊内容导向、出版管理、出版质量、规模与效果、党的建设与人才培养等方面，达到《中共中央宣传部关于印发&lt;报刊出版单位社会效益评价考核实行办法&gt;的通知》（中宣部发【2019】22号）和《中共四川省委宣传部办公室关于开展2020年度期刊社会效益评价考核工作的通知》（川宣办【2021】8号）的相关要求。</w:t>
            </w:r>
          </w:p>
          <w:p>
            <w:pPr>
              <w:keepNext w:val="0"/>
              <w:keepLines w:val="0"/>
              <w:pageBreakBefore w:val="0"/>
              <w:widowControl/>
              <w:kinsoku/>
              <w:wordWrap/>
              <w:overflowPunct/>
              <w:topLinePunct w:val="0"/>
              <w:autoSpaceDE/>
              <w:autoSpaceDN/>
              <w:bidi w:val="0"/>
              <w:adjustRightInd w:val="0"/>
              <w:snapToGrid w:val="0"/>
              <w:spacing w:line="240" w:lineRule="atLeast"/>
              <w:jc w:val="both"/>
              <w:textAlignment w:val="center"/>
              <w:rPr>
                <w:rFonts w:hint="eastAsia" w:ascii="宋体" w:hAnsi="宋体" w:cs="宋体"/>
                <w:color w:val="auto"/>
                <w:sz w:val="24"/>
                <w:lang w:val="en-US" w:eastAsia="zh-CN"/>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cs="宋体"/>
                <w:color w:val="auto"/>
                <w:sz w:val="24"/>
                <w:lang w:val="en-US" w:eastAsia="zh-CN"/>
              </w:rPr>
            </w:pPr>
            <w:r>
              <w:rPr>
                <w:rFonts w:hint="eastAsia" w:ascii="宋体" w:hAnsi="宋体" w:cs="宋体"/>
                <w:color w:val="auto"/>
                <w:sz w:val="24"/>
                <w:lang w:val="en-US" w:eastAsia="zh-CN"/>
              </w:rPr>
              <w:t>《新生代》杂志编辑出版项目切实加强了青少年宣传思想文化教育研究力量，夯实了科研阵地，为共青团改革凝聚了来自理论界的共识，为推进共青团和青少年事业蓬勃发展提供了强大的智力支持，社会效益成效显著。</w:t>
            </w:r>
          </w:p>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已完成</w:t>
            </w:r>
          </w:p>
        </w:tc>
      </w:tr>
      <w:tr>
        <w:tblPrEx>
          <w:tblLayout w:type="fixed"/>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24"/>
              </w:rPr>
            </w:pPr>
            <w:r>
              <w:rPr>
                <w:rFonts w:hint="eastAsia" w:ascii="宋体" w:hAnsi="宋体" w:cs="宋体"/>
                <w:color w:val="auto"/>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项目影响年限</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24"/>
              </w:rPr>
            </w:pPr>
            <w:r>
              <w:rPr>
                <w:rFonts w:ascii="宋体" w:hAnsi="宋体" w:eastAsia="宋体" w:cs="宋体"/>
                <w:sz w:val="24"/>
                <w:szCs w:val="24"/>
              </w:rPr>
              <w:t>≥3 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24"/>
              </w:rPr>
            </w:pPr>
            <w:r>
              <w:rPr>
                <w:rFonts w:ascii="宋体" w:hAnsi="宋体" w:eastAsia="宋体" w:cs="宋体"/>
                <w:sz w:val="24"/>
                <w:szCs w:val="24"/>
              </w:rPr>
              <w:t>≥3 年</w:t>
            </w:r>
          </w:p>
        </w:tc>
      </w:tr>
      <w:tr>
        <w:tblPrEx>
          <w:tblLayout w:type="fixed"/>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24"/>
              </w:rPr>
            </w:pPr>
            <w:r>
              <w:rPr>
                <w:rFonts w:hint="eastAsia" w:ascii="宋体" w:hAnsi="宋体" w:cs="宋体"/>
                <w:color w:val="auto"/>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服务对象满意度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24"/>
              </w:rPr>
            </w:pPr>
            <w:r>
              <w:rPr>
                <w:rFonts w:hint="default" w:ascii="Arial" w:hAnsi="Arial" w:eastAsia="宋体" w:cs="Arial"/>
                <w:color w:val="auto"/>
                <w:sz w:val="24"/>
                <w:lang w:eastAsia="zh-CN"/>
              </w:rPr>
              <w:t>≥</w:t>
            </w:r>
            <w:r>
              <w:rPr>
                <w:rFonts w:hint="eastAsia" w:ascii="Arial" w:hAnsi="Arial" w:cs="Arial"/>
                <w:color w:val="auto"/>
                <w:sz w:val="24"/>
                <w:lang w:val="en-US" w:eastAsia="zh-CN"/>
              </w:rPr>
              <w:t>80</w:t>
            </w:r>
            <w:r>
              <w:rPr>
                <w:rFonts w:hint="eastAsia" w:ascii="宋体" w:hAnsi="宋体" w:cs="宋体"/>
                <w:color w:val="auto"/>
                <w:sz w:val="24"/>
                <w:lang w:val="en-US"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ascii="宋体" w:hAnsi="宋体" w:cs="宋体"/>
                <w:color w:val="auto"/>
                <w:sz w:val="24"/>
              </w:rPr>
            </w:pPr>
            <w:r>
              <w:rPr>
                <w:rFonts w:hint="default" w:ascii="Arial" w:hAnsi="Arial" w:eastAsia="宋体" w:cs="Arial"/>
                <w:color w:val="auto"/>
                <w:sz w:val="24"/>
                <w:lang w:eastAsia="zh-CN"/>
              </w:rPr>
              <w:t>≥</w:t>
            </w:r>
            <w:r>
              <w:rPr>
                <w:rFonts w:hint="eastAsia" w:ascii="Arial" w:hAnsi="Arial" w:cs="Arial"/>
                <w:color w:val="auto"/>
                <w:sz w:val="24"/>
                <w:lang w:val="en-US" w:eastAsia="zh-CN"/>
              </w:rPr>
              <w:t>80</w:t>
            </w:r>
            <w:r>
              <w:rPr>
                <w:rFonts w:hint="eastAsia" w:ascii="宋体" w:hAnsi="宋体" w:cs="宋体"/>
                <w:color w:val="auto"/>
                <w:sz w:val="24"/>
                <w:lang w:val="en-US" w:eastAsia="zh-CN"/>
              </w:rPr>
              <w:t>%</w:t>
            </w:r>
          </w:p>
        </w:tc>
      </w:tr>
    </w:tbl>
    <w:p>
      <w:pPr>
        <w:pStyle w:val="7"/>
        <w:rPr>
          <w:rFonts w:ascii="仿宋_GB2312" w:hAnsi="仿宋_GB2312" w:eastAsia="仿宋_GB2312" w:cs="仿宋_GB2312"/>
          <w:color w:val="auto"/>
          <w:sz w:val="32"/>
          <w:szCs w:val="32"/>
        </w:rPr>
      </w:pPr>
    </w:p>
    <w:p>
      <w:pPr>
        <w:spacing w:line="580" w:lineRule="exact"/>
        <w:ind w:left="630"/>
        <w:rPr>
          <w:rFonts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2.</w:t>
      </w:r>
      <w:r>
        <w:rPr>
          <w:rFonts w:hint="eastAsia" w:ascii="楷体_GB2312" w:hAnsi="楷体_GB2312" w:eastAsia="楷体_GB2312" w:cs="楷体_GB2312"/>
          <w:color w:val="auto"/>
          <w:sz w:val="32"/>
          <w:szCs w:val="32"/>
          <w:lang w:eastAsia="zh-CN"/>
        </w:rPr>
        <w:t>单位</w:t>
      </w:r>
      <w:r>
        <w:rPr>
          <w:rFonts w:hint="eastAsia" w:ascii="楷体_GB2312" w:hAnsi="楷体_GB2312" w:eastAsia="楷体_GB2312" w:cs="楷体_GB2312"/>
          <w:color w:val="auto"/>
          <w:sz w:val="32"/>
          <w:szCs w:val="32"/>
        </w:rPr>
        <w:t>绩效评价结果。</w:t>
      </w:r>
    </w:p>
    <w:p>
      <w:pPr>
        <w:widowControl/>
        <w:ind w:firstLine="640" w:firstLineChars="200"/>
        <w:jc w:val="left"/>
        <w:rPr>
          <w:rFonts w:hint="eastAsia"/>
          <w:color w:val="auto"/>
        </w:rPr>
      </w:pPr>
      <w:r>
        <w:rPr>
          <w:rFonts w:hint="eastAsia" w:ascii="仿宋_GB2312" w:hAnsi="仿宋_GB2312" w:eastAsia="仿宋_GB2312" w:cs="仿宋_GB2312"/>
          <w:color w:val="auto"/>
          <w:sz w:val="32"/>
          <w:szCs w:val="32"/>
        </w:rPr>
        <w:t>本单位自行组织对</w:t>
      </w:r>
      <w:r>
        <w:rPr>
          <w:rFonts w:hint="eastAsia" w:ascii="仿宋_GB2312" w:hAnsi="Times New Roman" w:eastAsia="仿宋_GB2312" w:cs="Times New Roman"/>
          <w:color w:val="auto"/>
          <w:kern w:val="2"/>
          <w:sz w:val="32"/>
          <w:szCs w:val="32"/>
          <w:lang w:val="en-US" w:eastAsia="zh-CN" w:bidi="ar-SA"/>
        </w:rPr>
        <w:t>中小学幼儿园教师国家级培训计划</w:t>
      </w:r>
      <w:r>
        <w:rPr>
          <w:rFonts w:hint="eastAsia" w:ascii="仿宋_GB2312" w:hAnsi="仿宋_GB2312" w:eastAsia="仿宋_GB2312" w:cs="仿宋_GB2312"/>
          <w:color w:val="auto"/>
          <w:sz w:val="32"/>
          <w:szCs w:val="32"/>
        </w:rPr>
        <w:t>项目</w:t>
      </w:r>
      <w:r>
        <w:rPr>
          <w:rFonts w:hint="eastAsia" w:ascii="仿宋_GB2312" w:hAnsi="仿宋_GB2312" w:eastAsia="仿宋_GB2312" w:cs="仿宋_GB2312"/>
          <w:color w:val="auto"/>
          <w:sz w:val="32"/>
          <w:szCs w:val="32"/>
          <w:lang w:eastAsia="zh-CN"/>
        </w:rPr>
        <w:t>、</w:t>
      </w:r>
      <w:r>
        <w:rPr>
          <w:rFonts w:hint="eastAsia" w:ascii="仿宋_GB2312" w:hAnsi="Times New Roman" w:eastAsia="仿宋_GB2312" w:cs="Times New Roman"/>
          <w:color w:val="auto"/>
          <w:kern w:val="2"/>
          <w:sz w:val="32"/>
          <w:szCs w:val="32"/>
          <w:lang w:val="en-US" w:eastAsia="zh-CN" w:bidi="ar-SA"/>
        </w:rPr>
        <w:t>《新生代》杂志编辑出版项目</w:t>
      </w:r>
      <w:r>
        <w:rPr>
          <w:rFonts w:hint="eastAsia" w:ascii="仿宋_GB2312" w:hAnsi="仿宋_GB2312" w:eastAsia="仿宋_GB2312" w:cs="仿宋_GB2312"/>
          <w:color w:val="auto"/>
          <w:sz w:val="32"/>
          <w:szCs w:val="32"/>
        </w:rPr>
        <w:t>开展了绩效评价，《202</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年</w:t>
      </w:r>
      <w:r>
        <w:rPr>
          <w:rFonts w:hint="eastAsia" w:ascii="仿宋_GB2312" w:hAnsi="Times New Roman" w:eastAsia="仿宋_GB2312" w:cs="Times New Roman"/>
          <w:color w:val="auto"/>
          <w:kern w:val="2"/>
          <w:sz w:val="32"/>
          <w:szCs w:val="32"/>
          <w:lang w:val="en-US" w:eastAsia="zh-CN" w:bidi="ar-SA"/>
        </w:rPr>
        <w:t>中小学幼儿园教师国家级培训计划</w:t>
      </w:r>
      <w:r>
        <w:rPr>
          <w:rFonts w:hint="eastAsia" w:ascii="仿宋_GB2312" w:hAnsi="仿宋_GB2312" w:eastAsia="仿宋_GB2312" w:cs="仿宋_GB2312"/>
          <w:color w:val="auto"/>
          <w:sz w:val="32"/>
          <w:szCs w:val="32"/>
        </w:rPr>
        <w:t>项目支出绩效自评报告》</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&lt;</w:t>
      </w:r>
      <w:r>
        <w:rPr>
          <w:rFonts w:hint="eastAsia" w:ascii="仿宋_GB2312" w:hAnsi="Times New Roman" w:eastAsia="仿宋_GB2312" w:cs="Times New Roman"/>
          <w:color w:val="auto"/>
          <w:kern w:val="2"/>
          <w:sz w:val="32"/>
          <w:szCs w:val="32"/>
          <w:lang w:val="en-US" w:eastAsia="zh-CN" w:bidi="ar-SA"/>
        </w:rPr>
        <w:t>新生代&gt;杂志编辑出版项目</w:t>
      </w:r>
      <w:r>
        <w:rPr>
          <w:rFonts w:hint="eastAsia" w:ascii="仿宋_GB2312" w:hAnsi="仿宋_GB2312" w:eastAsia="仿宋_GB2312" w:cs="仿宋_GB2312"/>
          <w:color w:val="auto"/>
          <w:sz w:val="32"/>
          <w:szCs w:val="32"/>
        </w:rPr>
        <w:t>支出绩效自评报告》见附件</w:t>
      </w:r>
      <w:r>
        <w:rPr>
          <w:rFonts w:hint="eastAsia" w:ascii="仿宋_GB2312" w:hAnsi="仿宋_GB2312" w:eastAsia="仿宋_GB2312" w:cs="仿宋_GB2312"/>
          <w:color w:val="auto"/>
          <w:sz w:val="32"/>
          <w:szCs w:val="32"/>
          <w:lang w:eastAsia="zh-CN"/>
        </w:rPr>
        <w:t>（第四部分）</w:t>
      </w:r>
      <w:r>
        <w:rPr>
          <w:rFonts w:hint="eastAsia" w:ascii="仿宋_GB2312" w:hAnsi="仿宋_GB2312" w:eastAsia="仿宋_GB2312" w:cs="仿宋_GB2312"/>
          <w:color w:val="auto"/>
          <w:sz w:val="32"/>
          <w:szCs w:val="32"/>
        </w:rPr>
        <w:t>。</w:t>
      </w:r>
    </w:p>
    <w:p>
      <w:pPr>
        <w:pStyle w:val="19"/>
        <w:rPr>
          <w:rFonts w:hint="eastAsia"/>
          <w:color w:val="auto"/>
        </w:rPr>
      </w:pPr>
    </w:p>
    <w:p>
      <w:pPr>
        <w:pStyle w:val="19"/>
        <w:rPr>
          <w:rFonts w:hint="eastAsia"/>
          <w:color w:val="auto"/>
        </w:rPr>
      </w:pPr>
    </w:p>
    <w:p>
      <w:pPr>
        <w:pStyle w:val="19"/>
        <w:rPr>
          <w:rFonts w:hint="eastAsia"/>
          <w:color w:val="auto"/>
        </w:rPr>
      </w:pPr>
    </w:p>
    <w:p>
      <w:pPr>
        <w:pStyle w:val="19"/>
        <w:rPr>
          <w:rFonts w:hint="eastAsia"/>
        </w:rPr>
      </w:pPr>
    </w:p>
    <w:p>
      <w:pPr>
        <w:pStyle w:val="19"/>
        <w:rPr>
          <w:rFonts w:hint="eastAsia"/>
        </w:rPr>
      </w:pPr>
    </w:p>
    <w:p>
      <w:pPr>
        <w:pStyle w:val="19"/>
        <w:rPr>
          <w:rFonts w:hint="eastAsia"/>
        </w:rPr>
      </w:pPr>
    </w:p>
    <w:p>
      <w:pPr>
        <w:keepNext w:val="0"/>
        <w:keepLines w:val="0"/>
        <w:pageBreakBefore w:val="0"/>
        <w:widowControl w:val="0"/>
        <w:numPr>
          <w:ilvl w:val="0"/>
          <w:numId w:val="4"/>
        </w:numPr>
        <w:kinsoku/>
        <w:wordWrap/>
        <w:overflowPunct/>
        <w:topLinePunct w:val="0"/>
        <w:autoSpaceDE/>
        <w:autoSpaceDN/>
        <w:bidi w:val="0"/>
        <w:adjustRightInd/>
        <w:snapToGrid/>
        <w:spacing w:after="157" w:afterLines="50" w:line="600" w:lineRule="exact"/>
        <w:ind w:firstLine="660" w:firstLineChars="150"/>
        <w:jc w:val="center"/>
        <w:textAlignment w:val="auto"/>
        <w:outlineLvl w:val="0"/>
        <w:rPr>
          <w:rStyle w:val="28"/>
          <w:rFonts w:ascii="黑体" w:hAnsi="黑体" w:eastAsia="黑体"/>
          <w:b w:val="0"/>
        </w:rPr>
      </w:pPr>
      <w:bookmarkStart w:id="80" w:name="_Toc15396613"/>
      <w:bookmarkStart w:id="81" w:name="_Toc15377225"/>
      <w:bookmarkStart w:id="82" w:name="_Toc10961"/>
      <w:r>
        <w:rPr>
          <w:rFonts w:hint="eastAsia" w:ascii="黑体" w:hAnsi="黑体" w:eastAsia="黑体"/>
          <w:color w:val="000000"/>
          <w:sz w:val="44"/>
          <w:szCs w:val="44"/>
        </w:rPr>
        <w:t>名</w:t>
      </w:r>
      <w:r>
        <w:rPr>
          <w:rStyle w:val="28"/>
          <w:rFonts w:hint="eastAsia" w:ascii="黑体" w:hAnsi="黑体" w:eastAsia="黑体"/>
          <w:b w:val="0"/>
        </w:rPr>
        <w:t>词解释</w:t>
      </w:r>
      <w:bookmarkEnd w:id="80"/>
      <w:bookmarkEnd w:id="81"/>
      <w:bookmarkEnd w:id="82"/>
    </w:p>
    <w:p>
      <w:pPr>
        <w:pStyle w:val="26"/>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w:t>
      </w:r>
      <w:r>
        <w:rPr>
          <w:rFonts w:hint="eastAsia" w:ascii="仿宋_GB2312" w:eastAsia="仿宋_GB2312"/>
          <w:sz w:val="32"/>
          <w:szCs w:val="32"/>
          <w:lang w:eastAsia="zh-CN"/>
        </w:rPr>
        <w:t>单位</w:t>
      </w:r>
      <w:r>
        <w:rPr>
          <w:rFonts w:hint="eastAsia" w:ascii="仿宋_GB2312" w:eastAsia="仿宋_GB2312"/>
          <w:sz w:val="32"/>
          <w:szCs w:val="32"/>
        </w:rPr>
        <w:t>取得的财政预算资金。</w:t>
      </w:r>
    </w:p>
    <w:p>
      <w:pPr>
        <w:pStyle w:val="26"/>
        <w:spacing w:line="560" w:lineRule="exact"/>
        <w:ind w:firstLine="640" w:firstLineChars="200"/>
        <w:rPr>
          <w:rFonts w:hint="eastAsia"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pPr>
        <w:pStyle w:val="26"/>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其他收入：指单位取得的除上述收入以外的各项收入。</w:t>
      </w:r>
    </w:p>
    <w:p>
      <w:pPr>
        <w:pStyle w:val="26"/>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ascii="仿宋_GB2312" w:eastAsia="仿宋_GB2312"/>
          <w:sz w:val="32"/>
          <w:szCs w:val="32"/>
        </w:rPr>
        <w:t>.</w:t>
      </w:r>
      <w:r>
        <w:rPr>
          <w:rFonts w:hint="eastAsia" w:ascii="仿宋_GB2312" w:eastAsia="仿宋_GB2312"/>
          <w:sz w:val="32"/>
          <w:szCs w:val="32"/>
        </w:rPr>
        <w:t>结余分配：指事业单位按照会计制度规定</w:t>
      </w:r>
      <w:r>
        <w:rPr>
          <w:rFonts w:hint="eastAsia" w:ascii="仿宋_GB2312" w:eastAsia="仿宋_GB2312"/>
          <w:sz w:val="32"/>
          <w:szCs w:val="32"/>
          <w:lang w:eastAsia="zh-CN"/>
        </w:rPr>
        <w:t>缴纳的所得税、提取的专用结余以及转入非财政拨款结余的金额</w:t>
      </w:r>
      <w:r>
        <w:rPr>
          <w:rFonts w:hint="eastAsia" w:ascii="仿宋_GB2312" w:eastAsia="仿宋_GB2312"/>
          <w:sz w:val="32"/>
          <w:szCs w:val="32"/>
        </w:rPr>
        <w:t>等。</w:t>
      </w:r>
    </w:p>
    <w:p>
      <w:pPr>
        <w:pStyle w:val="26"/>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．一般公共服务支出（类）群众团体事务（款）事业运行（项）：指反映事业单位的基本支出，不包括行政单位（包括实行公务员管理的事业单位）后勤服务中心，医务室等附属事业单位。</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6</w:t>
      </w:r>
      <w:r>
        <w:rPr>
          <w:rFonts w:hint="eastAsia" w:ascii="仿宋_GB2312" w:eastAsia="仿宋_GB2312"/>
          <w:color w:val="000000"/>
          <w:sz w:val="32"/>
          <w:szCs w:val="32"/>
        </w:rPr>
        <w:t>．教育支出（类）成人教育（款）其他成人教育支出（项）</w:t>
      </w:r>
      <w:r>
        <w:rPr>
          <w:rFonts w:hint="eastAsia" w:ascii="仿宋_GB2312" w:eastAsia="仿宋_GB2312"/>
          <w:color w:val="000000"/>
          <w:sz w:val="32"/>
          <w:szCs w:val="32"/>
          <w:lang w:eastAsia="zh-CN"/>
        </w:rPr>
        <w:t>：</w:t>
      </w:r>
      <w:r>
        <w:rPr>
          <w:rFonts w:hint="eastAsia" w:ascii="仿宋_GB2312" w:eastAsia="仿宋_GB2312"/>
          <w:color w:val="000000"/>
          <w:sz w:val="32"/>
          <w:szCs w:val="32"/>
        </w:rPr>
        <w:t>指反映除上述项目以外其他用于成人教育方面的支出。</w:t>
      </w:r>
    </w:p>
    <w:p>
      <w:pPr>
        <w:pStyle w:val="19"/>
        <w:rPr>
          <w:rFonts w:hint="eastAsia"/>
          <w:color w:val="auto"/>
        </w:rPr>
      </w:pP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．教育支出（类）进修及培训（款）</w:t>
      </w:r>
      <w:r>
        <w:rPr>
          <w:rFonts w:hint="eastAsia" w:ascii="仿宋_GB2312" w:eastAsia="仿宋_GB2312"/>
          <w:color w:val="000000"/>
          <w:sz w:val="32"/>
          <w:szCs w:val="32"/>
          <w:lang w:val="en-US" w:eastAsia="zh-CN"/>
        </w:rPr>
        <w:t>教师进修</w:t>
      </w:r>
      <w:r>
        <w:rPr>
          <w:rFonts w:hint="eastAsia" w:ascii="仿宋_GB2312" w:eastAsia="仿宋_GB2312"/>
          <w:color w:val="000000"/>
          <w:sz w:val="32"/>
          <w:szCs w:val="32"/>
        </w:rPr>
        <w:t>（项）：指主</w:t>
      </w:r>
      <w:r>
        <w:rPr>
          <w:rFonts w:hint="eastAsia" w:ascii="仿宋_GB2312" w:eastAsia="仿宋_GB2312"/>
          <w:color w:val="auto"/>
          <w:sz w:val="32"/>
          <w:szCs w:val="32"/>
        </w:rPr>
        <w:t>要用于</w:t>
      </w:r>
      <w:r>
        <w:rPr>
          <w:rFonts w:hint="eastAsia" w:ascii="仿宋_GB2312" w:eastAsia="仿宋_GB2312"/>
          <w:color w:val="auto"/>
          <w:sz w:val="32"/>
          <w:szCs w:val="32"/>
          <w:lang w:val="en-US" w:eastAsia="zh-CN"/>
        </w:rPr>
        <w:t>中小学教师进修、培训的支出。</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 xml:space="preserve">．教育支出（类）进修及培训（款）培训支出（项）：指主要用于各级团员及团干部培训支出。 </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．社会保障和就业（类）行政事业单位</w:t>
      </w:r>
      <w:r>
        <w:rPr>
          <w:rFonts w:hint="eastAsia" w:ascii="仿宋_GB2312" w:eastAsia="仿宋_GB2312"/>
          <w:color w:val="000000"/>
          <w:sz w:val="32"/>
          <w:szCs w:val="32"/>
          <w:lang w:val="en-US" w:eastAsia="zh-CN"/>
        </w:rPr>
        <w:t>养老支出</w:t>
      </w:r>
      <w:r>
        <w:rPr>
          <w:rFonts w:hint="eastAsia" w:ascii="仿宋_GB2312" w:eastAsia="仿宋_GB2312"/>
          <w:color w:val="000000"/>
          <w:sz w:val="32"/>
          <w:szCs w:val="32"/>
        </w:rPr>
        <w:t xml:space="preserve">（款）事业单位离退休（项）：指反映事业单位开支的离退休支出。 </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10</w:t>
      </w:r>
      <w:r>
        <w:rPr>
          <w:rFonts w:hint="eastAsia" w:ascii="仿宋_GB2312" w:eastAsia="仿宋_GB2312"/>
          <w:color w:val="000000"/>
          <w:sz w:val="32"/>
          <w:szCs w:val="32"/>
        </w:rPr>
        <w:t>．社会保障和就业（类）行政事业单位</w:t>
      </w:r>
      <w:r>
        <w:rPr>
          <w:rFonts w:hint="eastAsia" w:ascii="仿宋_GB2312" w:eastAsia="仿宋_GB2312"/>
          <w:color w:val="000000"/>
          <w:sz w:val="32"/>
          <w:szCs w:val="32"/>
          <w:lang w:val="en-US" w:eastAsia="zh-CN"/>
        </w:rPr>
        <w:t>养老支出</w:t>
      </w:r>
      <w:r>
        <w:rPr>
          <w:rFonts w:hint="eastAsia" w:ascii="仿宋_GB2312" w:eastAsia="仿宋_GB2312"/>
          <w:color w:val="000000"/>
          <w:sz w:val="32"/>
          <w:szCs w:val="32"/>
        </w:rPr>
        <w:t>（款）机关事业单位基本养老保险缴费</w:t>
      </w:r>
      <w:r>
        <w:rPr>
          <w:rFonts w:hint="eastAsia" w:ascii="仿宋_GB2312" w:eastAsia="仿宋_GB2312"/>
          <w:color w:val="000000"/>
          <w:sz w:val="32"/>
          <w:szCs w:val="32"/>
          <w:lang w:val="en-US" w:eastAsia="zh-CN"/>
        </w:rPr>
        <w:t>支出</w:t>
      </w:r>
      <w:r>
        <w:rPr>
          <w:rFonts w:hint="eastAsia" w:ascii="仿宋_GB2312" w:eastAsia="仿宋_GB2312"/>
          <w:color w:val="000000"/>
          <w:sz w:val="32"/>
          <w:szCs w:val="32"/>
        </w:rPr>
        <w:t>（项）：指反映机关事业单位实施养老保险制度由单位缴纳的基本养老保险费支出。</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．社会保障和就业（类）行政事业单位</w:t>
      </w:r>
      <w:r>
        <w:rPr>
          <w:rFonts w:hint="eastAsia" w:ascii="仿宋_GB2312" w:eastAsia="仿宋_GB2312"/>
          <w:color w:val="000000"/>
          <w:sz w:val="32"/>
          <w:szCs w:val="32"/>
          <w:lang w:val="en-US" w:eastAsia="zh-CN"/>
        </w:rPr>
        <w:t>养老支出</w:t>
      </w:r>
      <w:r>
        <w:rPr>
          <w:rFonts w:hint="eastAsia" w:ascii="仿宋_GB2312" w:eastAsia="仿宋_GB2312"/>
          <w:color w:val="000000"/>
          <w:sz w:val="32"/>
          <w:szCs w:val="32"/>
        </w:rPr>
        <w:t xml:space="preserve">（款）机关事业单位职业年金缴费（项）：指反映机关事业单位实施养老保险制度由单位实际缴纳的职业年金支出。 </w:t>
      </w:r>
    </w:p>
    <w:p>
      <w:pPr>
        <w:ind w:firstLine="640" w:firstLineChars="200"/>
        <w:rPr>
          <w:rFonts w:hint="eastAsia" w:ascii="仿宋_GB2312" w:eastAsia="仿宋_GB2312"/>
          <w:color w:val="auto"/>
          <w:sz w:val="32"/>
          <w:szCs w:val="32"/>
          <w:lang w:val="en-US" w:eastAsia="zh-CN"/>
        </w:rPr>
      </w:pPr>
      <w:r>
        <w:rPr>
          <w:rFonts w:hint="eastAsia" w:ascii="仿宋_GB2312" w:eastAsia="仿宋_GB2312"/>
          <w:color w:val="000000"/>
          <w:sz w:val="32"/>
          <w:szCs w:val="32"/>
        </w:rPr>
        <w:t>1</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．社会保障和就业（类）其他</w:t>
      </w:r>
      <w:r>
        <w:rPr>
          <w:rFonts w:hint="eastAsia" w:ascii="仿宋_GB2312" w:eastAsia="仿宋_GB2312"/>
          <w:color w:val="000000"/>
          <w:sz w:val="32"/>
          <w:szCs w:val="32"/>
          <w:lang w:val="en-US" w:eastAsia="zh-CN"/>
        </w:rPr>
        <w:t>社会保障和就业支出</w:t>
      </w:r>
      <w:r>
        <w:rPr>
          <w:rFonts w:hint="eastAsia" w:ascii="仿宋_GB2312" w:eastAsia="仿宋_GB2312"/>
          <w:color w:val="000000"/>
          <w:sz w:val="32"/>
          <w:szCs w:val="32"/>
        </w:rPr>
        <w:t>（款）</w:t>
      </w:r>
      <w:r>
        <w:rPr>
          <w:rFonts w:hint="eastAsia" w:ascii="仿宋_GB2312" w:eastAsia="仿宋_GB2312"/>
          <w:color w:val="000000"/>
          <w:sz w:val="32"/>
          <w:szCs w:val="32"/>
          <w:lang w:val="en-US" w:eastAsia="zh-CN"/>
        </w:rPr>
        <w:t>其他社会保障和就业支出</w:t>
      </w:r>
      <w:r>
        <w:rPr>
          <w:rFonts w:hint="eastAsia" w:ascii="仿宋_GB2312" w:eastAsia="仿宋_GB2312"/>
          <w:color w:val="000000"/>
          <w:sz w:val="32"/>
          <w:szCs w:val="32"/>
        </w:rPr>
        <w:t>（项）：</w:t>
      </w:r>
      <w:r>
        <w:rPr>
          <w:rFonts w:hint="eastAsia" w:ascii="仿宋_GB2312" w:eastAsia="仿宋_GB2312"/>
          <w:color w:val="auto"/>
          <w:sz w:val="32"/>
          <w:szCs w:val="32"/>
        </w:rPr>
        <w:t>反映</w:t>
      </w:r>
      <w:r>
        <w:rPr>
          <w:rFonts w:hint="eastAsia" w:ascii="仿宋_GB2312" w:eastAsia="仿宋_GB2312"/>
          <w:color w:val="auto"/>
          <w:sz w:val="32"/>
          <w:szCs w:val="32"/>
          <w:lang w:val="en-US" w:eastAsia="zh-CN"/>
        </w:rPr>
        <w:t>其他用于社会保障方面的支出。</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13</w:t>
      </w:r>
      <w:r>
        <w:rPr>
          <w:rFonts w:hint="eastAsia" w:ascii="仿宋_GB2312" w:eastAsia="仿宋_GB2312"/>
          <w:color w:val="000000"/>
          <w:sz w:val="32"/>
          <w:szCs w:val="32"/>
        </w:rPr>
        <w:t>．卫生健康支出（类）行政事业单位医疗（款）事业单位医疗（项）：指反映财政</w:t>
      </w:r>
      <w:r>
        <w:rPr>
          <w:rFonts w:hint="eastAsia" w:ascii="仿宋_GB2312" w:eastAsia="仿宋_GB2312"/>
          <w:color w:val="000000"/>
          <w:sz w:val="32"/>
          <w:szCs w:val="32"/>
          <w:lang w:eastAsia="zh-CN"/>
        </w:rPr>
        <w:t>单位</w:t>
      </w:r>
      <w:r>
        <w:rPr>
          <w:rFonts w:hint="eastAsia" w:ascii="仿宋_GB2312" w:eastAsia="仿宋_GB2312"/>
          <w:color w:val="000000"/>
          <w:sz w:val="32"/>
          <w:szCs w:val="32"/>
        </w:rPr>
        <w:t xml:space="preserve">集中安排的事业单位基本医疗保险 缴费经费，未参加医疗保险的事业单位的公费医疗经费，按国家规定享受离休人员待遇人员的医疗经费。 </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14</w:t>
      </w:r>
      <w:r>
        <w:rPr>
          <w:rFonts w:hint="eastAsia" w:ascii="仿宋_GB2312" w:eastAsia="仿宋_GB2312"/>
          <w:color w:val="000000"/>
          <w:sz w:val="32"/>
          <w:szCs w:val="32"/>
        </w:rPr>
        <w:t>．住房保障（类）住房改革</w:t>
      </w:r>
      <w:r>
        <w:rPr>
          <w:rFonts w:hint="eastAsia" w:ascii="仿宋_GB2312" w:eastAsia="仿宋_GB2312"/>
          <w:color w:val="000000"/>
          <w:sz w:val="32"/>
          <w:szCs w:val="32"/>
          <w:lang w:val="en-US" w:eastAsia="zh-CN"/>
        </w:rPr>
        <w:t>支出</w:t>
      </w:r>
      <w:r>
        <w:rPr>
          <w:rFonts w:hint="eastAsia" w:ascii="仿宋_GB2312" w:eastAsia="仿宋_GB2312"/>
          <w:color w:val="000000"/>
          <w:sz w:val="32"/>
          <w:szCs w:val="32"/>
        </w:rPr>
        <w:t xml:space="preserve">（款）住房公积金（项）：指反映行政事业单位按人力资源和社会保障部、财政部规定的基本工资和津贴补贴以及规定比例为职工缴纳的住房公积金。 </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15</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16</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pStyle w:val="26"/>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17</w:t>
      </w:r>
      <w:r>
        <w:rPr>
          <w:rFonts w:ascii="仿宋_GB2312" w:eastAsia="仿宋_GB2312"/>
          <w:sz w:val="32"/>
          <w:szCs w:val="32"/>
        </w:rPr>
        <w:t>.</w:t>
      </w:r>
      <w:r>
        <w:rPr>
          <w:rFonts w:hint="eastAsia" w:ascii="仿宋_GB2312" w:eastAsia="仿宋_GB2312"/>
          <w:sz w:val="32"/>
          <w:szCs w:val="32"/>
        </w:rPr>
        <w:t>“三公”经费：指</w:t>
      </w:r>
      <w:r>
        <w:rPr>
          <w:rFonts w:hint="eastAsia" w:ascii="仿宋_GB2312" w:eastAsia="仿宋_GB2312"/>
          <w:sz w:val="32"/>
          <w:szCs w:val="32"/>
          <w:lang w:eastAsia="zh-CN"/>
        </w:rPr>
        <w:t>单位</w:t>
      </w:r>
      <w:r>
        <w:rPr>
          <w:rFonts w:hint="eastAsia" w:ascii="仿宋_GB2312" w:eastAsia="仿宋_GB2312"/>
          <w:sz w:val="32"/>
          <w:szCs w:val="32"/>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6"/>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18</w:t>
      </w:r>
      <w:r>
        <w:rPr>
          <w:rFonts w:hint="eastAsia" w:ascii="仿宋_GB2312" w:eastAsia="仿宋_GB2312"/>
          <w:sz w:val="32"/>
          <w:szCs w:val="32"/>
        </w:rPr>
        <w:t>．国有资产：指法律上确定为国家所有并能为国家提供经济和社会效益的各种经济资源的总和。</w:t>
      </w:r>
    </w:p>
    <w:p>
      <w:pPr>
        <w:spacing w:line="600" w:lineRule="exact"/>
        <w:jc w:val="center"/>
        <w:outlineLvl w:val="0"/>
        <w:rPr>
          <w:rFonts w:hint="eastAsia" w:ascii="黑体" w:hAnsi="黑体" w:eastAsia="黑体"/>
          <w:color w:val="000000"/>
          <w:sz w:val="44"/>
          <w:szCs w:val="44"/>
        </w:rPr>
      </w:pPr>
      <w:bookmarkStart w:id="83" w:name="_Toc15396614"/>
      <w:bookmarkStart w:id="84" w:name="_Toc15377226"/>
    </w:p>
    <w:p>
      <w:pPr>
        <w:pStyle w:val="7"/>
        <w:rPr>
          <w:rFonts w:hint="eastAsia" w:ascii="黑体" w:hAnsi="黑体" w:eastAsia="黑体"/>
          <w:color w:val="000000"/>
          <w:sz w:val="44"/>
          <w:szCs w:val="44"/>
        </w:rPr>
      </w:pPr>
    </w:p>
    <w:p>
      <w:pPr>
        <w:pStyle w:val="7"/>
        <w:rPr>
          <w:rFonts w:hint="eastAsia" w:ascii="黑体" w:hAnsi="黑体" w:eastAsia="黑体"/>
          <w:color w:val="000000"/>
          <w:sz w:val="44"/>
          <w:szCs w:val="44"/>
        </w:rPr>
      </w:pPr>
    </w:p>
    <w:p>
      <w:pPr>
        <w:pStyle w:val="7"/>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pStyle w:val="7"/>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pStyle w:val="7"/>
        <w:rPr>
          <w:rFonts w:hint="eastAsia"/>
        </w:rPr>
      </w:pPr>
    </w:p>
    <w:p>
      <w:pPr>
        <w:spacing w:line="600" w:lineRule="exact"/>
        <w:jc w:val="center"/>
        <w:outlineLvl w:val="0"/>
        <w:rPr>
          <w:rStyle w:val="28"/>
          <w:rFonts w:ascii="黑体" w:hAnsi="黑体" w:eastAsia="黑体"/>
          <w:b w:val="0"/>
        </w:rPr>
      </w:pPr>
      <w:bookmarkStart w:id="85" w:name="_Toc7976"/>
      <w:r>
        <w:rPr>
          <w:rFonts w:hint="eastAsia" w:ascii="黑体" w:hAnsi="黑体" w:eastAsia="黑体"/>
          <w:color w:val="000000"/>
          <w:sz w:val="44"/>
          <w:szCs w:val="44"/>
        </w:rPr>
        <w:t>第</w:t>
      </w:r>
      <w:r>
        <w:rPr>
          <w:rStyle w:val="28"/>
          <w:rFonts w:hint="eastAsia" w:ascii="黑体" w:hAnsi="黑体" w:eastAsia="黑体"/>
          <w:b w:val="0"/>
        </w:rPr>
        <w:t>四部分 附件</w:t>
      </w:r>
      <w:bookmarkEnd w:id="83"/>
      <w:bookmarkEnd w:id="85"/>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outlineLvl w:val="1"/>
        <w:rPr>
          <w:rFonts w:hint="eastAsia" w:ascii="宋体" w:hAnsi="宋体" w:eastAsia="宋体" w:cs="宋体"/>
          <w:b/>
          <w:bCs w:val="0"/>
          <w:sz w:val="36"/>
          <w:szCs w:val="36"/>
        </w:rPr>
      </w:pPr>
      <w:bookmarkStart w:id="86" w:name="_Toc16472"/>
      <w:bookmarkStart w:id="87" w:name="_Toc27098"/>
      <w:r>
        <w:rPr>
          <w:rFonts w:hint="eastAsia" w:ascii="宋体" w:hAnsi="宋体" w:eastAsia="宋体" w:cs="宋体"/>
          <w:b/>
          <w:bCs w:val="0"/>
          <w:sz w:val="36"/>
          <w:szCs w:val="36"/>
          <w:lang w:val="en-US" w:eastAsia="zh-CN"/>
        </w:rPr>
        <w:t>2020年中小学幼儿园教师国家级培训计划项目支出绩效自评报告</w:t>
      </w:r>
      <w:bookmarkEnd w:id="86"/>
      <w:bookmarkEnd w:id="87"/>
    </w:p>
    <w:p>
      <w:pPr>
        <w:keepNext w:val="0"/>
        <w:keepLines w:val="0"/>
        <w:pageBreakBefore w:val="0"/>
        <w:widowControl w:val="0"/>
        <w:numPr>
          <w:numId w:val="0"/>
        </w:numPr>
        <w:tabs>
          <w:tab w:val="left" w:pos="3885"/>
        </w:tabs>
        <w:kinsoku/>
        <w:wordWrap/>
        <w:overflowPunct/>
        <w:topLinePunct w:val="0"/>
        <w:autoSpaceDE/>
        <w:autoSpaceDN/>
        <w:bidi w:val="0"/>
        <w:adjustRightInd/>
        <w:snapToGrid w:val="0"/>
        <w:spacing w:line="600" w:lineRule="exact"/>
        <w:ind w:leftChars="0" w:firstLine="960" w:firstLineChars="300"/>
        <w:jc w:val="left"/>
        <w:textAlignment w:val="auto"/>
        <w:outlineLvl w:val="1"/>
        <w:rPr>
          <w:rFonts w:hint="eastAsia" w:ascii="黑体" w:hAnsi="宋体" w:eastAsia="黑体"/>
          <w:sz w:val="32"/>
          <w:szCs w:val="32"/>
          <w:lang w:eastAsia="zh-CN"/>
        </w:rPr>
      </w:pPr>
      <w:bookmarkStart w:id="88" w:name="_Toc24654"/>
      <w:bookmarkStart w:id="89" w:name="_Toc6517"/>
      <w:r>
        <w:rPr>
          <w:rFonts w:hint="eastAsia" w:ascii="黑体" w:hAnsi="宋体" w:eastAsia="黑体"/>
          <w:sz w:val="32"/>
          <w:szCs w:val="32"/>
          <w:lang w:eastAsia="zh-CN"/>
        </w:rPr>
        <w:t>一、</w:t>
      </w:r>
      <w:bookmarkStart w:id="132" w:name="_GoBack"/>
      <w:bookmarkEnd w:id="132"/>
      <w:r>
        <w:rPr>
          <w:rFonts w:hint="eastAsia" w:ascii="黑体" w:hAnsi="宋体" w:eastAsia="黑体"/>
          <w:sz w:val="32"/>
          <w:szCs w:val="32"/>
          <w:lang w:eastAsia="zh-CN"/>
        </w:rPr>
        <w:t>基本情况</w:t>
      </w:r>
      <w:bookmarkEnd w:id="88"/>
      <w:bookmarkEnd w:id="89"/>
    </w:p>
    <w:p>
      <w:pPr>
        <w:pStyle w:val="19"/>
        <w:numPr>
          <w:ilvl w:val="0"/>
          <w:numId w:val="0"/>
        </w:numPr>
        <w:ind w:firstLine="640" w:firstLineChars="200"/>
        <w:rPr>
          <w:rFonts w:hint="eastAsia" w:ascii="楷体" w:hAnsi="楷体" w:eastAsia="楷体" w:cs="楷体"/>
          <w:b w:val="0"/>
          <w:bCs w:val="0"/>
          <w:szCs w:val="21"/>
          <w:lang w:val="en-US" w:eastAsia="zh-CN"/>
        </w:rPr>
      </w:pPr>
      <w:r>
        <w:rPr>
          <w:rFonts w:hint="eastAsia" w:ascii="楷体" w:hAnsi="楷体" w:eastAsia="楷体" w:cs="楷体"/>
          <w:b w:val="0"/>
          <w:bCs w:val="0"/>
          <w:szCs w:val="21"/>
          <w:lang w:val="en-US" w:eastAsia="zh-CN"/>
        </w:rPr>
        <w:t>（一）项目概况</w:t>
      </w:r>
    </w:p>
    <w:p>
      <w:pPr>
        <w:pStyle w:val="19"/>
        <w:numPr>
          <w:ilvl w:val="0"/>
          <w:numId w:val="0"/>
        </w:numPr>
        <w:ind w:firstLine="640" w:firstLineChars="200"/>
        <w:rPr>
          <w:rFonts w:hint="eastAsia" w:ascii="仿宋" w:hAnsi="仿宋" w:eastAsia="仿宋" w:cs="仿宋"/>
          <w:kern w:val="2"/>
          <w:sz w:val="32"/>
          <w:szCs w:val="21"/>
          <w:lang w:val="en-US" w:eastAsia="zh-CN" w:bidi="ar-SA"/>
        </w:rPr>
      </w:pPr>
      <w:r>
        <w:rPr>
          <w:rFonts w:hint="eastAsia" w:ascii="仿宋" w:hAnsi="仿宋" w:eastAsia="仿宋" w:cs="仿宋"/>
          <w:kern w:val="2"/>
          <w:sz w:val="32"/>
          <w:szCs w:val="21"/>
          <w:lang w:val="en-US" w:eastAsia="zh-CN" w:bidi="ar-SA"/>
        </w:rPr>
        <w:t>四川省团校努力把握建设党在青年工作领域特色鲜明的政治学校这一根本定位，聚焦专兼职团干部、优秀少先队辅导员、青年志愿者、青少年工作者和社会组织等培训。努力为新时代党的青年群众工作和共青团建设提供人才智力支持。</w:t>
      </w:r>
    </w:p>
    <w:p>
      <w:pPr>
        <w:pStyle w:val="19"/>
        <w:numPr>
          <w:ilvl w:val="0"/>
          <w:numId w:val="0"/>
        </w:numPr>
        <w:ind w:firstLine="640" w:firstLineChars="200"/>
        <w:rPr>
          <w:rFonts w:hint="eastAsia" w:ascii="仿宋" w:hAnsi="仿宋" w:eastAsia="仿宋" w:cs="仿宋"/>
          <w:kern w:val="2"/>
          <w:sz w:val="32"/>
          <w:szCs w:val="21"/>
          <w:lang w:val="en-US" w:eastAsia="zh-CN" w:bidi="ar-SA"/>
        </w:rPr>
      </w:pPr>
      <w:r>
        <w:rPr>
          <w:rFonts w:hint="eastAsia" w:ascii="仿宋" w:hAnsi="仿宋" w:eastAsia="仿宋" w:cs="仿宋"/>
          <w:kern w:val="2"/>
          <w:sz w:val="32"/>
          <w:szCs w:val="21"/>
          <w:lang w:val="en-US" w:eastAsia="zh-CN" w:bidi="ar-SA"/>
        </w:rPr>
        <w:t>按照《四川省2020年“国培计划”中西部和幼师国培项目实施方案》和《教育部财政部中小学幼儿园教师国家级培训专项资金管理办法》及《四川省教师及教育系统培训专项资金管理办法》等相关要求，根据四川省教育厅的项目委托，四川省团校承训四川省2020年“国培”项目承训经费为100万元，主要用于2020年团校承办5期培训班（团支部书记和优秀中小学少先队辅导员）支付培训期间直接发生的各项费用支出，具体包括：住宿费、伙食费、培训场地及设备费、讲课费及指导费、培训资料费、交通费及其他费用等。</w:t>
      </w:r>
    </w:p>
    <w:p>
      <w:pPr>
        <w:pStyle w:val="19"/>
        <w:numPr>
          <w:ilvl w:val="0"/>
          <w:numId w:val="0"/>
        </w:numPr>
        <w:ind w:firstLine="640" w:firstLineChars="200"/>
        <w:rPr>
          <w:rFonts w:hint="eastAsia" w:ascii="楷体" w:hAnsi="楷体" w:eastAsia="楷体" w:cs="楷体"/>
          <w:b w:val="0"/>
          <w:bCs w:val="0"/>
          <w:szCs w:val="21"/>
          <w:lang w:val="en-US" w:eastAsia="zh-CN"/>
        </w:rPr>
      </w:pPr>
      <w:r>
        <w:rPr>
          <w:rFonts w:hint="eastAsia" w:ascii="楷体" w:hAnsi="楷体" w:eastAsia="楷体" w:cs="楷体"/>
          <w:b w:val="0"/>
          <w:bCs w:val="0"/>
          <w:szCs w:val="21"/>
          <w:lang w:val="en-US" w:eastAsia="zh-CN"/>
        </w:rPr>
        <w:t>（二）项目实施情况</w:t>
      </w:r>
    </w:p>
    <w:p>
      <w:pPr>
        <w:numPr>
          <w:ilvl w:val="0"/>
          <w:numId w:val="0"/>
        </w:numPr>
        <w:spacing w:before="62" w:after="62" w:line="360" w:lineRule="auto"/>
        <w:ind w:firstLine="640" w:firstLineChars="200"/>
        <w:rPr>
          <w:rFonts w:hint="eastAsia" w:ascii="仿宋_GB2312" w:hAnsi="仿宋_GB2312" w:eastAsia="方正仿宋简体" w:cs="仿宋_GB2312"/>
          <w:kern w:val="2"/>
          <w:sz w:val="32"/>
          <w:szCs w:val="21"/>
          <w:lang w:val="en-US" w:eastAsia="zh-CN" w:bidi="ar-SA"/>
        </w:rPr>
      </w:pPr>
      <w:r>
        <w:rPr>
          <w:rFonts w:hint="eastAsia" w:ascii="仿宋" w:hAnsi="仿宋" w:eastAsia="仿宋" w:cs="仿宋"/>
          <w:kern w:val="2"/>
          <w:sz w:val="32"/>
          <w:szCs w:val="21"/>
          <w:lang w:val="en-US" w:eastAsia="zh-CN" w:bidi="ar-SA"/>
        </w:rPr>
        <w:t>四川省团校承担的2020年“国培”项目，共设置5期培训班，培训对象包括全省各市州的团支部书记和优秀中小学少先队辅导员，总计培训492人。培训结合我省学校系统团支部书记和少先队辅导员的工作需求，进行多方位课程设计。一是强化理论学习，锤炼政治素养。开设了《习近平总书记关于青年工作的重要思想》《中国共产党的奋斗历程及启示》《党的十九届五中全会精神解读》等专题讲座，用理论武装头脑，让思想照进初心，提升学校团支部书记和的少先队辅导员政治素养。二是突出业务培训，提升工作水平。授课教师围绕《中学共青团基础团务工作规范》《规范化建设中学生团校的内容与方法》《学校共青团工作与媒体宣传》《中学生志愿服务活动》等知识内容进行深入讲解，提升学校团支部书记的业务水平，增强围绕中心、服务大局的履职能力。 为进一步提升中小学少先队辅导员岗位能力，专门设置了《少先队工作“三大制度性文件”解读》《构建阶梯式成长激励体系 增强少先队员荣誉感》《少年儿童组织与思想意识教育学科建设与研究》《少先队活动的策划与实施》《新时代少年儿童媒介素养的教育引导》《少先队鼓号队的组建与管理》等课程。三是加强交流学习，拓宽工作思路。培训期间，组织学员围绕主责主业进行经验交流，让学员互学互鉴，共同进步。</w:t>
      </w:r>
    </w:p>
    <w:p>
      <w:pPr>
        <w:pStyle w:val="19"/>
        <w:rPr>
          <w:rFonts w:hint="eastAsia" w:ascii="楷体" w:hAnsi="楷体" w:eastAsia="楷体" w:cs="楷体"/>
          <w:b w:val="0"/>
          <w:bCs w:val="0"/>
          <w:szCs w:val="21"/>
          <w:lang w:val="en-US" w:eastAsia="zh-CN"/>
        </w:rPr>
      </w:pPr>
      <w:r>
        <w:rPr>
          <w:rFonts w:hint="eastAsia" w:ascii="楷体" w:hAnsi="楷体" w:eastAsia="楷体" w:cs="楷体"/>
          <w:b w:val="0"/>
          <w:bCs w:val="0"/>
          <w:kern w:val="2"/>
          <w:sz w:val="32"/>
          <w:szCs w:val="21"/>
          <w:lang w:val="en-US" w:eastAsia="zh-CN" w:bidi="ar-SA"/>
        </w:rPr>
        <w:t>（三）</w:t>
      </w:r>
      <w:r>
        <w:rPr>
          <w:rFonts w:hint="eastAsia" w:ascii="楷体" w:hAnsi="楷体" w:eastAsia="楷体" w:cs="楷体"/>
          <w:b w:val="0"/>
          <w:bCs w:val="0"/>
          <w:szCs w:val="21"/>
          <w:lang w:eastAsia="zh-CN"/>
        </w:rPr>
        <w:t>资金投入使用情况</w:t>
      </w:r>
    </w:p>
    <w:p>
      <w:pPr>
        <w:pStyle w:val="19"/>
        <w:numPr>
          <w:ilvl w:val="0"/>
          <w:numId w:val="0"/>
        </w:numPr>
        <w:ind w:firstLine="640" w:firstLineChars="200"/>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建立培训项目费用申报审批制度，依据真实的报销凭证、完整的签批流程和手续完成资金拨付，注重培训班次的有效性严肃性实用性。“</w:t>
      </w:r>
      <w:r>
        <w:rPr>
          <w:rFonts w:hint="eastAsia" w:ascii="仿宋" w:hAnsi="仿宋" w:eastAsia="仿宋" w:cs="仿宋"/>
          <w:szCs w:val="21"/>
          <w:lang w:val="en-US" w:eastAsia="zh-CN"/>
        </w:rPr>
        <w:t>国培”中西部骨干教师提升培训项目资金主要用于支付培训期间直接发生的各项费用支出，具体包括：住宿费、伙食费、培训场地及设备费、讲课费及指导费、培训资料费、交通费及其他费用等，接受有关审计单位的监督和审查。</w:t>
      </w:r>
      <w:r>
        <w:rPr>
          <w:rFonts w:hint="eastAsia" w:ascii="仿宋" w:hAnsi="仿宋" w:eastAsia="仿宋" w:cs="仿宋"/>
          <w:color w:val="auto"/>
          <w:szCs w:val="21"/>
          <w:lang w:val="en-US" w:eastAsia="zh-CN"/>
        </w:rPr>
        <w:t>本项目省级财政投资100万元，已支付到位。严格按照财政厅项目资金管理的相关要求进行财务管理。</w:t>
      </w:r>
    </w:p>
    <w:p>
      <w:pPr>
        <w:pStyle w:val="19"/>
        <w:numPr>
          <w:ilvl w:val="0"/>
          <w:numId w:val="0"/>
        </w:numPr>
        <w:ind w:firstLine="640" w:firstLineChars="200"/>
        <w:rPr>
          <w:rFonts w:hint="eastAsia" w:ascii="楷体" w:hAnsi="楷体" w:eastAsia="楷体" w:cs="楷体"/>
          <w:b w:val="0"/>
          <w:bCs w:val="0"/>
          <w:szCs w:val="21"/>
          <w:lang w:eastAsia="zh-CN"/>
        </w:rPr>
      </w:pPr>
      <w:r>
        <w:rPr>
          <w:rFonts w:hint="eastAsia" w:ascii="楷体" w:hAnsi="楷体" w:eastAsia="楷体" w:cs="楷体"/>
          <w:b w:val="0"/>
          <w:bCs w:val="0"/>
          <w:szCs w:val="21"/>
          <w:lang w:eastAsia="zh-CN"/>
        </w:rPr>
        <w:t>（</w:t>
      </w:r>
      <w:r>
        <w:rPr>
          <w:rFonts w:hint="eastAsia" w:ascii="楷体" w:hAnsi="楷体" w:eastAsia="楷体" w:cs="楷体"/>
          <w:b w:val="0"/>
          <w:bCs w:val="0"/>
          <w:szCs w:val="21"/>
          <w:lang w:val="en-US" w:eastAsia="zh-CN"/>
        </w:rPr>
        <w:t>四</w:t>
      </w:r>
      <w:r>
        <w:rPr>
          <w:rFonts w:hint="eastAsia" w:ascii="楷体" w:hAnsi="楷体" w:eastAsia="楷体" w:cs="楷体"/>
          <w:b w:val="0"/>
          <w:bCs w:val="0"/>
          <w:szCs w:val="21"/>
          <w:lang w:eastAsia="zh-CN"/>
        </w:rPr>
        <w:t>）项目绩效目标</w:t>
      </w:r>
    </w:p>
    <w:p>
      <w:pPr>
        <w:pStyle w:val="19"/>
        <w:numPr>
          <w:ilvl w:val="0"/>
          <w:numId w:val="0"/>
        </w:numPr>
        <w:ind w:firstLine="640" w:firstLineChars="200"/>
        <w:rPr>
          <w:rFonts w:hint="eastAsia" w:ascii="仿宋" w:hAnsi="仿宋" w:eastAsia="仿宋" w:cs="仿宋"/>
          <w:szCs w:val="21"/>
          <w:lang w:val="en-US" w:eastAsia="zh-CN"/>
        </w:rPr>
      </w:pPr>
      <w:r>
        <w:rPr>
          <w:rFonts w:hint="eastAsia" w:ascii="仿宋" w:hAnsi="仿宋" w:eastAsia="仿宋" w:cs="仿宋"/>
          <w:szCs w:val="21"/>
          <w:lang w:val="en-US" w:eastAsia="zh-CN"/>
        </w:rPr>
        <w:t>按时保质保量完成培训任务。计划培训人数500人，参训率不低于97%。对参训学员达到培训预期目标：一是强化理论学习，锤炼政治素养。二是突出业务培训，提升工作水平。三是加强交流学习，拓宽工作思路。</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1"/>
        <w:rPr>
          <w:rFonts w:hint="eastAsia" w:ascii="宋体" w:hAnsi="宋体" w:eastAsia="仿宋_GB2312"/>
          <w:sz w:val="32"/>
          <w:szCs w:val="32"/>
          <w:lang w:eastAsia="zh-CN"/>
        </w:rPr>
      </w:pPr>
      <w:bookmarkStart w:id="90" w:name="_Toc18370"/>
      <w:bookmarkStart w:id="91" w:name="_Toc20552"/>
      <w:r>
        <w:rPr>
          <w:rFonts w:hint="eastAsia" w:ascii="黑体" w:hAnsi="黑体" w:eastAsia="黑体" w:cs="黑体"/>
          <w:sz w:val="32"/>
          <w:szCs w:val="32"/>
          <w:lang w:eastAsia="zh-CN"/>
        </w:rPr>
        <w:t>二、评价工作开展情况</w:t>
      </w:r>
      <w:bookmarkEnd w:id="90"/>
      <w:bookmarkEnd w:id="91"/>
    </w:p>
    <w:p>
      <w:pPr>
        <w:pStyle w:val="19"/>
        <w:numPr>
          <w:ilvl w:val="0"/>
          <w:numId w:val="0"/>
        </w:numPr>
        <w:ind w:firstLine="640" w:firstLineChars="200"/>
        <w:rPr>
          <w:rFonts w:hint="eastAsia" w:ascii="仿宋" w:hAnsi="仿宋" w:eastAsia="仿宋" w:cs="仿宋"/>
          <w:szCs w:val="21"/>
          <w:lang w:val="en-US" w:eastAsia="zh-CN"/>
        </w:rPr>
      </w:pPr>
      <w:r>
        <w:rPr>
          <w:rFonts w:hint="eastAsia" w:ascii="仿宋" w:hAnsi="仿宋" w:eastAsia="仿宋" w:cs="仿宋"/>
          <w:szCs w:val="21"/>
          <w:lang w:val="en-US" w:eastAsia="zh-CN"/>
        </w:rPr>
        <w:t>包括评价组织情况、评价指标体系、评价方法和评价标准等内容。</w:t>
      </w:r>
    </w:p>
    <w:p>
      <w:pPr>
        <w:pStyle w:val="19"/>
        <w:keepNext w:val="0"/>
        <w:keepLines w:val="0"/>
        <w:pageBreakBefore w:val="0"/>
        <w:widowControl w:val="0"/>
        <w:numPr>
          <w:ilvl w:val="0"/>
          <w:numId w:val="5"/>
        </w:numPr>
        <w:kinsoku/>
        <w:wordWrap/>
        <w:overflowPunct/>
        <w:topLinePunct w:val="0"/>
        <w:autoSpaceDE/>
        <w:autoSpaceDN/>
        <w:bidi w:val="0"/>
        <w:adjustRightInd/>
        <w:spacing w:line="560" w:lineRule="exact"/>
        <w:textAlignment w:val="auto"/>
        <w:rPr>
          <w:rFonts w:hint="eastAsia" w:ascii="楷体" w:hAnsi="楷体" w:eastAsia="楷体" w:cs="楷体"/>
          <w:szCs w:val="21"/>
          <w:lang w:val="en-US" w:eastAsia="zh-CN"/>
        </w:rPr>
      </w:pPr>
      <w:r>
        <w:rPr>
          <w:rFonts w:hint="eastAsia" w:ascii="楷体" w:hAnsi="楷体" w:eastAsia="楷体" w:cs="楷体"/>
          <w:szCs w:val="21"/>
          <w:lang w:val="en-US" w:eastAsia="zh-CN"/>
        </w:rPr>
        <w:t>评价组织情况</w:t>
      </w:r>
    </w:p>
    <w:p>
      <w:pPr>
        <w:pStyle w:val="19"/>
        <w:numPr>
          <w:ilvl w:val="0"/>
          <w:numId w:val="0"/>
        </w:numPr>
        <w:ind w:firstLine="640" w:firstLineChars="200"/>
        <w:rPr>
          <w:rFonts w:hint="eastAsia" w:ascii="仿宋" w:hAnsi="仿宋" w:eastAsia="仿宋" w:cs="仿宋"/>
          <w:szCs w:val="21"/>
          <w:lang w:val="en-US" w:eastAsia="zh-CN"/>
        </w:rPr>
      </w:pPr>
      <w:r>
        <w:rPr>
          <w:rFonts w:hint="eastAsia" w:ascii="仿宋" w:hAnsi="仿宋" w:eastAsia="仿宋" w:cs="仿宋"/>
          <w:szCs w:val="21"/>
          <w:lang w:val="en-US" w:eastAsia="zh-CN"/>
        </w:rPr>
        <w:t>成立“国培”项目评价小组。一是领导小组。负责领导和指导项目实施，集中调配资源支持培训工作顺利开展，制定相关规章制度。二是教学管理组（班主任团队）。具体负责实施培训班的教学管理工作，进行班级学习管理等具体事务的工作安排，负责资料收集等管理工作。三是财务监督组，监督培训班的整体财务情况并进行报销。评价小组各自任务具体，职责明确，相互协作，保证了项目实施各环节行动路径清晰。</w:t>
      </w:r>
    </w:p>
    <w:p>
      <w:pPr>
        <w:pStyle w:val="19"/>
        <w:keepNext w:val="0"/>
        <w:keepLines w:val="0"/>
        <w:pageBreakBefore w:val="0"/>
        <w:widowControl w:val="0"/>
        <w:numPr>
          <w:ilvl w:val="0"/>
          <w:numId w:val="5"/>
        </w:numPr>
        <w:kinsoku/>
        <w:wordWrap/>
        <w:overflowPunct/>
        <w:topLinePunct w:val="0"/>
        <w:autoSpaceDE/>
        <w:autoSpaceDN/>
        <w:bidi w:val="0"/>
        <w:adjustRightInd/>
        <w:spacing w:line="560" w:lineRule="exact"/>
        <w:textAlignment w:val="auto"/>
        <w:rPr>
          <w:rFonts w:hint="eastAsia" w:ascii="楷体" w:hAnsi="楷体" w:eastAsia="楷体" w:cs="楷体"/>
          <w:szCs w:val="21"/>
          <w:lang w:val="en-US" w:eastAsia="zh-CN"/>
        </w:rPr>
      </w:pPr>
      <w:r>
        <w:rPr>
          <w:rFonts w:hint="eastAsia" w:ascii="楷体" w:hAnsi="楷体" w:eastAsia="楷体" w:cs="楷体"/>
          <w:szCs w:val="21"/>
          <w:lang w:val="en-US" w:eastAsia="zh-CN"/>
        </w:rPr>
        <w:t>评价指标体系</w:t>
      </w:r>
    </w:p>
    <w:p>
      <w:pPr>
        <w:pStyle w:val="19"/>
        <w:numPr>
          <w:ilvl w:val="0"/>
          <w:numId w:val="0"/>
        </w:numPr>
        <w:ind w:firstLine="640" w:firstLineChars="200"/>
        <w:rPr>
          <w:rFonts w:hint="eastAsia" w:ascii="仿宋" w:hAnsi="仿宋" w:eastAsia="仿宋" w:cs="仿宋"/>
          <w:szCs w:val="21"/>
          <w:lang w:val="en-US" w:eastAsia="zh-CN"/>
        </w:rPr>
      </w:pPr>
      <w:r>
        <w:rPr>
          <w:rFonts w:hint="eastAsia" w:ascii="仿宋" w:hAnsi="仿宋" w:eastAsia="仿宋" w:cs="仿宋"/>
          <w:szCs w:val="21"/>
          <w:lang w:val="en-US" w:eastAsia="zh-CN"/>
        </w:rPr>
        <w:t>本次绩效评价设立了项目决策、项目过程、项目产出、项目效益4个一级指标，下设项目立项、项目目标、资金投入、资金管理、组织实施、经济性、效率性、效果性8个二级指标，再根据各项具体工作设置个性三级指标14个。</w:t>
      </w:r>
    </w:p>
    <w:p>
      <w:pPr>
        <w:pStyle w:val="19"/>
        <w:numPr>
          <w:ilvl w:val="0"/>
          <w:numId w:val="0"/>
        </w:numPr>
        <w:ind w:firstLine="640" w:firstLineChars="200"/>
        <w:rPr>
          <w:rFonts w:hint="eastAsia" w:ascii="仿宋_GB2312" w:hAnsi="仿宋_GB2312" w:cs="仿宋_GB2312"/>
          <w:szCs w:val="21"/>
          <w:lang w:val="en-US" w:eastAsia="zh-CN"/>
        </w:rPr>
      </w:pPr>
      <w:r>
        <w:rPr>
          <w:rFonts w:hint="eastAsia" w:ascii="仿宋_GB2312" w:hAnsi="仿宋_GB2312" w:cs="仿宋_GB2312"/>
          <w:szCs w:val="21"/>
          <w:lang w:val="en-US" w:eastAsia="zh-CN"/>
        </w:rPr>
        <w:t>3.评价方法及评价标准</w:t>
      </w:r>
    </w:p>
    <w:p>
      <w:pPr>
        <w:pStyle w:val="19"/>
        <w:numPr>
          <w:ilvl w:val="0"/>
          <w:numId w:val="0"/>
        </w:numPr>
        <w:ind w:firstLine="640" w:firstLineChars="200"/>
        <w:rPr>
          <w:rFonts w:hint="eastAsia" w:ascii="仿宋" w:hAnsi="仿宋" w:eastAsia="仿宋" w:cs="仿宋"/>
          <w:szCs w:val="21"/>
          <w:lang w:val="en-US" w:eastAsia="zh-CN"/>
        </w:rPr>
      </w:pPr>
      <w:r>
        <w:rPr>
          <w:rFonts w:hint="eastAsia" w:ascii="仿宋" w:hAnsi="仿宋" w:eastAsia="仿宋" w:cs="仿宋"/>
          <w:szCs w:val="21"/>
          <w:lang w:val="en-US" w:eastAsia="zh-CN"/>
        </w:rPr>
        <w:t>（1）听取汇报法。培训结束后，通过培训班专题总结会和班主任总结报告会两种方法对培训班进行全面总结。</w:t>
      </w:r>
    </w:p>
    <w:p>
      <w:pPr>
        <w:pStyle w:val="19"/>
        <w:numPr>
          <w:ilvl w:val="0"/>
          <w:numId w:val="0"/>
        </w:numPr>
        <w:ind w:firstLine="640" w:firstLineChars="200"/>
        <w:rPr>
          <w:rFonts w:hint="eastAsia" w:ascii="仿宋" w:hAnsi="仿宋" w:eastAsia="仿宋" w:cs="仿宋"/>
          <w:szCs w:val="21"/>
          <w:lang w:val="en-US" w:eastAsia="zh-CN"/>
        </w:rPr>
      </w:pPr>
      <w:r>
        <w:rPr>
          <w:rFonts w:hint="eastAsia" w:ascii="仿宋" w:hAnsi="仿宋" w:eastAsia="仿宋" w:cs="仿宋"/>
          <w:szCs w:val="21"/>
          <w:lang w:val="en-US" w:eastAsia="zh-CN"/>
        </w:rPr>
        <w:t>（2）资料分析法。主要用于财务评估。包括：培训通知、学员签到表、日程安排、人员安排、预决算表等。</w:t>
      </w:r>
    </w:p>
    <w:p>
      <w:pPr>
        <w:pStyle w:val="19"/>
        <w:numPr>
          <w:ilvl w:val="0"/>
          <w:numId w:val="0"/>
        </w:numPr>
        <w:ind w:firstLine="640" w:firstLineChars="200"/>
        <w:rPr>
          <w:rFonts w:hint="eastAsia" w:ascii="仿宋" w:hAnsi="仿宋" w:eastAsia="仿宋" w:cs="仿宋"/>
          <w:szCs w:val="21"/>
          <w:lang w:val="en-US" w:eastAsia="zh-CN"/>
        </w:rPr>
      </w:pPr>
      <w:r>
        <w:rPr>
          <w:rFonts w:hint="eastAsia" w:ascii="仿宋" w:hAnsi="仿宋" w:eastAsia="仿宋" w:cs="仿宋"/>
          <w:szCs w:val="21"/>
          <w:lang w:val="en-US" w:eastAsia="zh-CN"/>
        </w:rPr>
        <w:t>（3）问卷调查法。一是培训后我单位组织的学员自评，包括对教学和后勤服务的满意度调查。二是国培项目办组织的学员评价。</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Chars="200"/>
        <w:textAlignment w:val="auto"/>
        <w:outlineLvl w:val="1"/>
        <w:rPr>
          <w:rFonts w:hint="eastAsia" w:ascii="黑体" w:hAnsi="宋体" w:eastAsia="黑体"/>
          <w:sz w:val="32"/>
          <w:szCs w:val="32"/>
          <w:lang w:eastAsia="zh-CN"/>
        </w:rPr>
      </w:pPr>
      <w:bookmarkStart w:id="92" w:name="_Toc16780"/>
      <w:bookmarkStart w:id="93" w:name="_Toc10203"/>
      <w:r>
        <w:rPr>
          <w:rFonts w:hint="eastAsia" w:ascii="黑体" w:hAnsi="宋体" w:eastAsia="黑体"/>
          <w:sz w:val="32"/>
          <w:szCs w:val="32"/>
          <w:lang w:val="en-US" w:eastAsia="zh-CN"/>
        </w:rPr>
        <w:t>三、</w:t>
      </w:r>
      <w:r>
        <w:rPr>
          <w:rFonts w:hint="eastAsia" w:ascii="黑体" w:hAnsi="宋体" w:eastAsia="黑体"/>
          <w:sz w:val="32"/>
          <w:szCs w:val="32"/>
          <w:lang w:eastAsia="zh-CN"/>
        </w:rPr>
        <w:t>综合</w:t>
      </w:r>
      <w:r>
        <w:rPr>
          <w:rFonts w:hint="eastAsia" w:ascii="黑体" w:hAnsi="宋体" w:eastAsia="黑体"/>
          <w:sz w:val="32"/>
          <w:szCs w:val="32"/>
        </w:rPr>
        <w:t>评价结论</w:t>
      </w:r>
      <w:bookmarkEnd w:id="92"/>
      <w:bookmarkEnd w:id="93"/>
    </w:p>
    <w:p>
      <w:pPr>
        <w:pStyle w:val="19"/>
        <w:rPr>
          <w:rFonts w:hint="eastAsia" w:ascii="仿宋" w:hAnsi="仿宋" w:eastAsia="仿宋" w:cs="仿宋"/>
          <w:szCs w:val="21"/>
          <w:lang w:val="en-US" w:eastAsia="zh-CN"/>
        </w:rPr>
      </w:pPr>
      <w:r>
        <w:rPr>
          <w:rFonts w:hint="eastAsia" w:ascii="仿宋" w:hAnsi="仿宋" w:eastAsia="仿宋" w:cs="仿宋"/>
          <w:szCs w:val="21"/>
          <w:lang w:val="en-US" w:eastAsia="zh-CN"/>
        </w:rPr>
        <w:t>“国培计划”团干部培训和少先队辅导员培训都取了一定成效，达到了预期效果。</w:t>
      </w:r>
    </w:p>
    <w:p>
      <w:pPr>
        <w:pStyle w:val="19"/>
        <w:rPr>
          <w:rFonts w:hint="eastAsia" w:ascii="仿宋" w:hAnsi="仿宋" w:eastAsia="仿宋" w:cs="仿宋"/>
          <w:szCs w:val="21"/>
          <w:lang w:val="en-US" w:eastAsia="zh-CN"/>
        </w:rPr>
      </w:pPr>
      <w:r>
        <w:rPr>
          <w:rFonts w:hint="eastAsia" w:ascii="楷体" w:hAnsi="楷体" w:eastAsia="楷体" w:cs="楷体"/>
          <w:lang w:eastAsia="zh-CN"/>
        </w:rPr>
        <w:t>（一）提高了参训学员的政治站位。</w:t>
      </w:r>
      <w:r>
        <w:rPr>
          <w:rFonts w:hint="eastAsia" w:ascii="仿宋" w:hAnsi="仿宋" w:eastAsia="仿宋" w:cs="仿宋"/>
          <w:szCs w:val="21"/>
          <w:lang w:val="en-US" w:eastAsia="zh-CN"/>
        </w:rPr>
        <w:t>少先队辅导员肩负着建设社会主义建设者和接班人的重要职责，少先队辅导员的政治素养是第一位的。在每期培训班中，我们始终把政治理论课程放在首位，切实提高了学员的政治素养。</w:t>
      </w:r>
    </w:p>
    <w:p>
      <w:pPr>
        <w:pStyle w:val="19"/>
        <w:rPr>
          <w:rFonts w:hint="eastAsia" w:ascii="仿宋" w:hAnsi="仿宋" w:eastAsia="仿宋" w:cs="仿宋"/>
          <w:szCs w:val="21"/>
          <w:lang w:val="en-US" w:eastAsia="zh-CN"/>
        </w:rPr>
      </w:pPr>
      <w:r>
        <w:rPr>
          <w:rFonts w:hint="eastAsia" w:ascii="楷体" w:hAnsi="楷体" w:eastAsia="楷体" w:cs="楷体"/>
          <w:lang w:eastAsia="zh-CN"/>
        </w:rPr>
        <w:t>（二）增强了参训学员的业务能力。</w:t>
      </w:r>
      <w:r>
        <w:rPr>
          <w:rFonts w:hint="eastAsia" w:ascii="仿宋" w:hAnsi="仿宋" w:eastAsia="仿宋" w:cs="仿宋"/>
          <w:szCs w:val="21"/>
          <w:lang w:val="en-US" w:eastAsia="zh-CN"/>
        </w:rPr>
        <w:t>通过专业课程设置，理论讲解与实操练习相结合，丰富了学员的教育理论知识，开阔了工作视野，也助力于参训学员的专业化发展与综合素质的提升。</w:t>
      </w:r>
    </w:p>
    <w:p>
      <w:pPr>
        <w:pStyle w:val="19"/>
        <w:rPr>
          <w:rFonts w:hint="eastAsia" w:ascii="仿宋" w:hAnsi="仿宋" w:eastAsia="仿宋" w:cs="仿宋"/>
          <w:szCs w:val="21"/>
          <w:lang w:val="en-US" w:eastAsia="zh-CN"/>
        </w:rPr>
      </w:pPr>
      <w:r>
        <w:rPr>
          <w:rFonts w:hint="eastAsia" w:ascii="楷体" w:hAnsi="楷体" w:eastAsia="楷体" w:cs="楷体"/>
          <w:lang w:eastAsia="zh-CN"/>
        </w:rPr>
        <w:t>（三）提升了参训学员的引领示范能力。</w:t>
      </w:r>
      <w:r>
        <w:rPr>
          <w:rFonts w:hint="eastAsia" w:ascii="仿宋" w:hAnsi="仿宋" w:eastAsia="仿宋" w:cs="仿宋"/>
          <w:szCs w:val="21"/>
          <w:lang w:val="en-US" w:eastAsia="zh-CN"/>
        </w:rPr>
        <w:t>培训紧紧围绕培训目标任务，在培训内容、培训方式、组织管理等方面，尽可能将最新的内容、方式、规范等传授给学员，促进参训学员将所学用于实践，也有利于他们返校后发挥示范引领、辐射的作用。</w:t>
      </w:r>
    </w:p>
    <w:p>
      <w:pPr>
        <w:pStyle w:val="19"/>
        <w:rPr>
          <w:rFonts w:hint="eastAsia" w:ascii="仿宋" w:hAnsi="仿宋" w:eastAsia="仿宋" w:cs="仿宋"/>
          <w:szCs w:val="21"/>
          <w:lang w:val="en-US" w:eastAsia="zh-CN"/>
        </w:rPr>
      </w:pPr>
      <w:r>
        <w:rPr>
          <w:rFonts w:hint="eastAsia" w:ascii="楷体" w:hAnsi="楷体" w:eastAsia="楷体" w:cs="楷体"/>
          <w:lang w:eastAsia="zh-CN"/>
        </w:rPr>
        <w:t>（四）生成了一批优质的教学资源成果。</w:t>
      </w:r>
      <w:r>
        <w:rPr>
          <w:rFonts w:hint="eastAsia" w:ascii="仿宋" w:hAnsi="仿宋" w:eastAsia="仿宋" w:cs="仿宋"/>
          <w:szCs w:val="21"/>
          <w:lang w:val="en-US" w:eastAsia="zh-CN"/>
        </w:rPr>
        <w:t>在培训过程中生成了一批以教学实际问题为核心、以优质教学案例为载体的教学资源。包括课程视频、课件、学习资料、学员心得、活动照片等。</w:t>
      </w:r>
    </w:p>
    <w:p>
      <w:pPr>
        <w:pStyle w:val="19"/>
        <w:rPr>
          <w:rFonts w:hint="eastAsia" w:ascii="仿宋" w:hAnsi="仿宋" w:eastAsia="仿宋" w:cs="仿宋"/>
          <w:kern w:val="2"/>
          <w:sz w:val="32"/>
          <w:szCs w:val="21"/>
          <w:lang w:val="en-US" w:eastAsia="zh-CN" w:bidi="ar-SA"/>
        </w:rPr>
      </w:pPr>
      <w:r>
        <w:rPr>
          <w:rFonts w:hint="eastAsia" w:ascii="仿宋" w:hAnsi="仿宋" w:eastAsia="仿宋" w:cs="仿宋"/>
          <w:szCs w:val="21"/>
          <w:lang w:val="en-US" w:eastAsia="zh-CN"/>
        </w:rPr>
        <w:t>我校该项目自评分为94分,自评等次为：优（评分表见附件）</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1"/>
        <w:rPr>
          <w:rFonts w:hint="eastAsia" w:ascii="黑体" w:hAnsi="黑体" w:eastAsia="黑体" w:cs="黑体"/>
          <w:b w:val="0"/>
          <w:bCs/>
          <w:sz w:val="32"/>
          <w:szCs w:val="32"/>
          <w:lang w:eastAsia="zh-CN"/>
        </w:rPr>
      </w:pPr>
      <w:bookmarkStart w:id="94" w:name="_Toc14492"/>
      <w:bookmarkStart w:id="95" w:name="_Toc16065"/>
      <w:r>
        <w:rPr>
          <w:rFonts w:hint="eastAsia" w:ascii="黑体" w:hAnsi="黑体" w:eastAsia="黑体" w:cs="黑体"/>
          <w:b w:val="0"/>
          <w:bCs/>
          <w:sz w:val="32"/>
          <w:szCs w:val="32"/>
          <w:lang w:eastAsia="zh-CN"/>
        </w:rPr>
        <w:t>四、绩效评价分析</w:t>
      </w:r>
      <w:bookmarkEnd w:id="94"/>
      <w:bookmarkEnd w:id="95"/>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eastAsia" w:ascii="楷体" w:hAnsi="楷体" w:eastAsia="楷体" w:cs="楷体"/>
          <w:b w:val="0"/>
          <w:bCs/>
          <w:sz w:val="32"/>
          <w:szCs w:val="32"/>
          <w:lang w:eastAsia="zh-CN"/>
        </w:rPr>
      </w:pPr>
      <w:r>
        <w:rPr>
          <w:rFonts w:hint="eastAsia" w:ascii="楷体" w:hAnsi="楷体" w:eastAsia="楷体" w:cs="楷体"/>
          <w:b w:val="0"/>
          <w:bCs/>
          <w:sz w:val="32"/>
          <w:szCs w:val="32"/>
          <w:lang w:eastAsia="zh-CN"/>
        </w:rPr>
        <w:t>（一）项目决策情况</w:t>
      </w:r>
    </w:p>
    <w:p>
      <w:pPr>
        <w:pStyle w:val="19"/>
        <w:numPr>
          <w:ilvl w:val="0"/>
          <w:numId w:val="0"/>
        </w:numPr>
        <w:ind w:firstLine="640" w:firstLineChars="200"/>
        <w:rPr>
          <w:rFonts w:hint="eastAsia" w:ascii="仿宋" w:hAnsi="仿宋" w:eastAsia="仿宋" w:cs="仿宋"/>
          <w:szCs w:val="21"/>
          <w:lang w:val="en-US" w:eastAsia="zh-CN"/>
        </w:rPr>
      </w:pPr>
      <w:r>
        <w:rPr>
          <w:rFonts w:hint="eastAsia" w:ascii="仿宋" w:hAnsi="仿宋" w:eastAsia="仿宋" w:cs="仿宋"/>
          <w:szCs w:val="21"/>
          <w:lang w:val="en-US" w:eastAsia="zh-CN"/>
        </w:rPr>
        <w:t>2016年11月，团中央和教育部联合印发了《中学共青团改革实施方案》，2017年6月团省委联合省教育厅印发了《关于推进中学共青团改革的实施意见》，对全省中学共青团改革的领导机制、组织架构、责任分工、过程管控等作了安排部署。2020年2月，共青团中央、教育部、人力资源社会保障部、全国少工委联合印发《关于加强新时代少先队辅导员队伍建设的意见》，明确要求加强辅导员政治培训,在各级团委、少工委、教育单位举办的辅导员培训中，政治培训课时不得低于总课时的80%，建立辅导员“岗前培训+在岗培训+专项培训”、“辅导员培训+师资培训”的分级培训体系，其中在中小学教师培训、中小学校长（德育工作</w:t>
      </w:r>
      <w:r>
        <w:rPr>
          <w:rFonts w:hint="eastAsia" w:ascii="仿宋" w:hAnsi="仿宋" w:eastAsia="仿宋" w:cs="仿宋"/>
          <w:lang w:eastAsia="zh-CN"/>
        </w:rPr>
        <w:t>者）培</w:t>
      </w:r>
      <w:r>
        <w:rPr>
          <w:rFonts w:hint="eastAsia" w:ascii="仿宋" w:hAnsi="仿宋" w:eastAsia="仿宋" w:cs="仿宋"/>
          <w:szCs w:val="21"/>
          <w:lang w:val="en-US" w:eastAsia="zh-CN"/>
        </w:rPr>
        <w:t>训中，少先队内容分别不少于4学时、8学时。大队辅导员每3年全员轮训一次，累计不少于24学时。中队辅导员、校外辅导员每年由学校少工委全员轮训不少于16学时。在各级团干部培训中增加少先队辅导员名额，不少于全部名额的20%。这为在新时期开展学校共青团工作，进行干部教育培训提供了政策依据。</w:t>
      </w:r>
    </w:p>
    <w:p>
      <w:pPr>
        <w:pStyle w:val="19"/>
        <w:numPr>
          <w:ilvl w:val="0"/>
          <w:numId w:val="0"/>
        </w:numPr>
        <w:ind w:firstLine="640" w:firstLineChars="200"/>
        <w:rPr>
          <w:rFonts w:hint="eastAsia" w:ascii="仿宋" w:hAnsi="仿宋" w:eastAsia="仿宋" w:cs="仿宋"/>
          <w:szCs w:val="21"/>
          <w:lang w:val="en-US" w:eastAsia="zh-CN"/>
        </w:rPr>
      </w:pPr>
      <w:r>
        <w:rPr>
          <w:rFonts w:hint="eastAsia" w:ascii="仿宋" w:hAnsi="仿宋" w:eastAsia="仿宋" w:cs="仿宋"/>
          <w:szCs w:val="21"/>
          <w:lang w:val="en-US" w:eastAsia="zh-CN"/>
        </w:rPr>
        <w:t>团校作为建设党在青年工作领域特色鲜明的政治学校，承担着服务团干部和少先队辅导员培训职能，团校姓党，随着《共青团中央改革方案》《四川省团校改革方案》深入推进，团校聚焦干部教育培训主责主业，更加突出政治培训，为新时代党的青年群众工作和共青团建设提供人才智力支持。承担“国培计划”教育培训，对于促进新时期学校共青团改革、提升少先队辅导员政治素质、推进义务教育均衡发展具有重要意义。</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eastAsia" w:ascii="楷体" w:hAnsi="楷体" w:eastAsia="楷体" w:cs="楷体"/>
          <w:b w:val="0"/>
          <w:bCs/>
          <w:sz w:val="32"/>
          <w:szCs w:val="32"/>
          <w:lang w:eastAsia="zh-CN"/>
        </w:rPr>
      </w:pPr>
      <w:r>
        <w:rPr>
          <w:rFonts w:hint="eastAsia" w:ascii="楷体" w:hAnsi="楷体" w:eastAsia="楷体" w:cs="楷体"/>
          <w:b w:val="0"/>
          <w:bCs/>
          <w:sz w:val="32"/>
          <w:szCs w:val="32"/>
          <w:lang w:eastAsia="zh-CN"/>
        </w:rPr>
        <w:t>（二）项目管理情况</w:t>
      </w:r>
    </w:p>
    <w:p>
      <w:pPr>
        <w:pStyle w:val="19"/>
        <w:numPr>
          <w:ilvl w:val="0"/>
          <w:numId w:val="0"/>
        </w:numPr>
        <w:ind w:firstLine="640" w:firstLineChars="200"/>
        <w:rPr>
          <w:rFonts w:hint="eastAsia" w:ascii="仿宋" w:hAnsi="仿宋" w:eastAsia="仿宋" w:cs="仿宋"/>
          <w:szCs w:val="21"/>
          <w:lang w:val="en-US" w:eastAsia="zh-CN"/>
        </w:rPr>
      </w:pPr>
      <w:r>
        <w:rPr>
          <w:rFonts w:hint="eastAsia" w:ascii="仿宋" w:hAnsi="仿宋" w:eastAsia="仿宋" w:cs="仿宋"/>
          <w:szCs w:val="21"/>
          <w:lang w:val="en-US" w:eastAsia="zh-CN"/>
        </w:rPr>
        <w:t>在整个培训过程中做到严（严格管理、严格要求）、细（细处着眼、细节入手）、实（扎实操作、务求实效）。</w:t>
      </w:r>
    </w:p>
    <w:p>
      <w:pPr>
        <w:pStyle w:val="19"/>
        <w:numPr>
          <w:ilvl w:val="0"/>
          <w:numId w:val="0"/>
        </w:numPr>
        <w:ind w:firstLine="640" w:firstLineChars="200"/>
        <w:rPr>
          <w:rFonts w:hint="eastAsia" w:ascii="仿宋" w:hAnsi="仿宋" w:eastAsia="仿宋" w:cs="仿宋"/>
          <w:szCs w:val="21"/>
          <w:lang w:val="en-US" w:eastAsia="zh-CN"/>
        </w:rPr>
      </w:pPr>
      <w:r>
        <w:rPr>
          <w:rFonts w:hint="eastAsia" w:ascii="仿宋" w:hAnsi="仿宋" w:eastAsia="仿宋" w:cs="仿宋"/>
          <w:szCs w:val="21"/>
          <w:lang w:val="en-US" w:eastAsia="zh-CN"/>
        </w:rPr>
        <w:t>1.成立工作小组，加强管理、服务和监督机制。一是成立“国培”培训项目工作领导小组，统筹规划，沟通协调，建章建制。分管副校长亲自组织教学、后勤服务、学员管理等各相关单位多次召开协调会，进行任务分解，明确分工，确立各自的工作职责和要求，做到各司其职，分工协作，确保培训前期各项准备工作有序落实。二是组建班级管理团队，带班班主任团队，通过电话、短信、微信等渠道提前与参训学员保持紧密联系并邀请进入班级群，做到有问题及时沟通解决。并认真做好与参训学员的日常考勤，评价考核和后勤保障等工作。</w:t>
      </w:r>
    </w:p>
    <w:p>
      <w:pPr>
        <w:pStyle w:val="19"/>
        <w:numPr>
          <w:ilvl w:val="0"/>
          <w:numId w:val="0"/>
        </w:numPr>
        <w:ind w:firstLine="640" w:firstLineChars="200"/>
        <w:rPr>
          <w:rFonts w:hint="eastAsia" w:ascii="仿宋" w:hAnsi="仿宋" w:eastAsia="仿宋" w:cs="仿宋"/>
          <w:szCs w:val="21"/>
          <w:lang w:val="en-US" w:eastAsia="zh-CN"/>
        </w:rPr>
      </w:pPr>
      <w:r>
        <w:rPr>
          <w:rFonts w:hint="eastAsia" w:ascii="仿宋" w:hAnsi="仿宋" w:eastAsia="仿宋" w:cs="仿宋"/>
          <w:szCs w:val="21"/>
          <w:lang w:val="en-US" w:eastAsia="zh-CN"/>
        </w:rPr>
        <w:t>2.各司其职，全方位做好管理工作。一是实现学员自主管理。建立“临时党支部”，在培训报道当晚，组织开展参与式团建活动和班会，严明学员管理的各项规定，严格校规校纪，确保学员守纪律讲规矩。第一时间成立“临时党支部”，管好、用好、服务好培训班工作。二是班主任跟班值班。正班主任在培训期间晚间全程跟班值班，校内培训住宿在综合楼值班室。三是班主任全程听课。培训班期间，正班主任全程跟班听课，撰写工作日志，目的不仅在于服务好授课教师，更重要的是对于课程进行总体把握，及时反馈在课程中出现的问题。四是学员住宿半军事化管理。公寓专为团干培训使用(不对外)，公寓实行半军事化管理， 报到时领取床上用品三件套，自己动手铺床，培训结束时自行拆下与押金单、房卡一起在大厅办理退房手续；培训期间自行整理内务。每天晚上10点会进行查寝。</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eastAsia" w:ascii="楷体" w:hAnsi="楷体" w:eastAsia="楷体" w:cs="楷体"/>
          <w:b w:val="0"/>
          <w:bCs/>
          <w:sz w:val="32"/>
          <w:szCs w:val="32"/>
          <w:lang w:eastAsia="zh-CN"/>
        </w:rPr>
      </w:pPr>
      <w:r>
        <w:rPr>
          <w:rFonts w:hint="eastAsia" w:ascii="楷体" w:hAnsi="楷体" w:eastAsia="楷体" w:cs="楷体"/>
          <w:b w:val="0"/>
          <w:bCs/>
          <w:sz w:val="32"/>
          <w:szCs w:val="32"/>
          <w:lang w:eastAsia="zh-CN"/>
        </w:rPr>
        <w:t>（三）项目产出情况</w:t>
      </w:r>
    </w:p>
    <w:p>
      <w:pPr>
        <w:ind w:firstLine="640" w:firstLineChars="200"/>
        <w:rPr>
          <w:rFonts w:hint="eastAsia" w:ascii="仿宋" w:hAnsi="仿宋" w:eastAsia="仿宋" w:cs="仿宋"/>
          <w:kern w:val="2"/>
          <w:sz w:val="32"/>
          <w:szCs w:val="21"/>
          <w:lang w:val="en-US" w:eastAsia="zh-CN" w:bidi="ar-SA"/>
        </w:rPr>
      </w:pPr>
      <w:r>
        <w:rPr>
          <w:rFonts w:hint="eastAsia" w:ascii="仿宋" w:hAnsi="仿宋" w:eastAsia="仿宋"/>
          <w:sz w:val="32"/>
          <w:szCs w:val="32"/>
          <w:lang w:val="en-US" w:eastAsia="zh-CN"/>
        </w:rPr>
        <w:t>1.</w:t>
      </w:r>
      <w:r>
        <w:rPr>
          <w:rFonts w:hint="eastAsia" w:ascii="仿宋" w:hAnsi="仿宋" w:eastAsia="仿宋"/>
          <w:sz w:val="32"/>
          <w:szCs w:val="32"/>
        </w:rPr>
        <w:t>对项目的实施进度和完成质量进行分析</w:t>
      </w:r>
      <w:r>
        <w:rPr>
          <w:rFonts w:hint="eastAsia" w:ascii="仿宋" w:hAnsi="仿宋" w:eastAsia="仿宋"/>
          <w:sz w:val="32"/>
          <w:szCs w:val="32"/>
          <w:lang w:eastAsia="zh-CN"/>
        </w:rPr>
        <w:t>。</w:t>
      </w:r>
      <w:r>
        <w:rPr>
          <w:rFonts w:hint="eastAsia" w:ascii="仿宋" w:hAnsi="仿宋" w:eastAsia="仿宋"/>
          <w:sz w:val="32"/>
          <w:szCs w:val="32"/>
          <w:lang w:val="en-US" w:eastAsia="zh-CN"/>
        </w:rPr>
        <w:t>根据项目计划</w:t>
      </w:r>
      <w:r>
        <w:rPr>
          <w:rFonts w:hint="eastAsia" w:ascii="仿宋" w:hAnsi="仿宋" w:eastAsia="仿宋" w:cs="仿宋"/>
          <w:kern w:val="2"/>
          <w:sz w:val="32"/>
          <w:szCs w:val="21"/>
          <w:lang w:val="en-US" w:eastAsia="zh-CN" w:bidi="ar-SA"/>
        </w:rPr>
        <w:t>要求，培训班按计划顺利推进。举办5期培训班，培训人数</w:t>
      </w:r>
      <w:r>
        <w:rPr>
          <w:rFonts w:hint="default" w:ascii="仿宋" w:hAnsi="仿宋" w:eastAsia="仿宋" w:cs="仿宋"/>
          <w:kern w:val="2"/>
          <w:sz w:val="32"/>
          <w:szCs w:val="21"/>
          <w:lang w:val="en-US" w:eastAsia="zh-CN" w:bidi="ar-SA"/>
        </w:rPr>
        <w:t>492人，参训率为98.4%。在培训期间，重点围绕培训主题、课程设置、互动体验、实践交流、经验分享等内容展开培训。通过认真考核评选出了50余名优秀学员。</w:t>
      </w:r>
      <w:r>
        <w:rPr>
          <w:rFonts w:hint="eastAsia" w:ascii="仿宋" w:hAnsi="仿宋" w:eastAsia="仿宋" w:cs="仿宋"/>
          <w:kern w:val="2"/>
          <w:sz w:val="32"/>
          <w:szCs w:val="21"/>
          <w:lang w:val="en-US" w:eastAsia="zh-CN" w:bidi="ar-SA"/>
        </w:rPr>
        <w:t xml:space="preserve">          </w:t>
      </w:r>
    </w:p>
    <w:p>
      <w:pPr>
        <w:ind w:firstLine="640" w:firstLineChars="200"/>
        <w:rPr>
          <w:rFonts w:hint="eastAsia" w:ascii="仿宋" w:hAnsi="仿宋" w:eastAsia="仿宋"/>
          <w:sz w:val="32"/>
          <w:szCs w:val="32"/>
        </w:rPr>
      </w:pPr>
      <w:r>
        <w:rPr>
          <w:rFonts w:hint="eastAsia" w:ascii="仿宋" w:hAnsi="仿宋" w:eastAsia="仿宋" w:cs="仿宋"/>
          <w:kern w:val="2"/>
          <w:sz w:val="32"/>
          <w:szCs w:val="21"/>
          <w:lang w:val="en-US" w:eastAsia="zh-CN" w:bidi="ar-SA"/>
        </w:rPr>
        <w:t>2.对项目成本（预算）的控制和节约情况进行分析</w:t>
      </w:r>
      <w:r>
        <w:rPr>
          <w:rFonts w:hint="eastAsia" w:ascii="仿宋" w:hAnsi="仿宋" w:eastAsia="仿宋"/>
          <w:sz w:val="32"/>
          <w:szCs w:val="32"/>
          <w:lang w:eastAsia="zh-CN"/>
        </w:rPr>
        <w:t>。</w:t>
      </w:r>
      <w:r>
        <w:rPr>
          <w:rFonts w:hint="eastAsia" w:ascii="仿宋" w:hAnsi="仿宋" w:eastAsia="仿宋"/>
          <w:sz w:val="32"/>
          <w:szCs w:val="32"/>
        </w:rPr>
        <w:t>成本控制情况：开支成本以预算为基准执行，厉行节约，超支不报。成本节约情况：通过领导审核、财务把关、相关</w:t>
      </w:r>
      <w:r>
        <w:rPr>
          <w:rFonts w:hint="eastAsia" w:ascii="仿宋" w:hAnsi="仿宋" w:eastAsia="仿宋"/>
          <w:sz w:val="32"/>
          <w:szCs w:val="32"/>
          <w:lang w:eastAsia="zh-CN"/>
        </w:rPr>
        <w:t>单位</w:t>
      </w:r>
      <w:r>
        <w:rPr>
          <w:rFonts w:hint="eastAsia" w:ascii="仿宋" w:hAnsi="仿宋" w:eastAsia="仿宋"/>
          <w:sz w:val="32"/>
          <w:szCs w:val="32"/>
        </w:rPr>
        <w:t>监督等工作流程，项目开支没有超预算情况，达到了节约预算的目的。</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eastAsia" w:ascii="楷体" w:hAnsi="楷体" w:eastAsia="楷体" w:cs="楷体"/>
          <w:b w:val="0"/>
          <w:bCs/>
          <w:sz w:val="32"/>
          <w:szCs w:val="32"/>
          <w:lang w:eastAsia="zh-CN"/>
        </w:rPr>
      </w:pPr>
      <w:r>
        <w:rPr>
          <w:rFonts w:hint="eastAsia" w:ascii="楷体" w:hAnsi="楷体" w:eastAsia="楷体" w:cs="楷体"/>
          <w:b w:val="0"/>
          <w:bCs/>
          <w:sz w:val="32"/>
          <w:szCs w:val="32"/>
          <w:lang w:eastAsia="zh-CN"/>
        </w:rPr>
        <w:t>（四）项目效益情况</w:t>
      </w:r>
    </w:p>
    <w:p>
      <w:pPr>
        <w:ind w:firstLine="640" w:firstLineChars="200"/>
        <w:rPr>
          <w:rFonts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项目预期目标完成程度。</w:t>
      </w:r>
      <w:r>
        <w:rPr>
          <w:rFonts w:hint="eastAsia" w:ascii="仿宋" w:hAnsi="仿宋" w:eastAsia="仿宋"/>
          <w:sz w:val="32"/>
          <w:szCs w:val="32"/>
          <w:lang w:val="en-US" w:eastAsia="zh-CN"/>
        </w:rPr>
        <w:t>2020</w:t>
      </w:r>
      <w:r>
        <w:rPr>
          <w:rFonts w:hint="eastAsia" w:ascii="仿宋" w:hAnsi="仿宋" w:eastAsia="仿宋"/>
          <w:sz w:val="32"/>
          <w:szCs w:val="32"/>
        </w:rPr>
        <w:t>年</w:t>
      </w:r>
      <w:r>
        <w:rPr>
          <w:rFonts w:hint="eastAsia" w:ascii="仿宋" w:hAnsi="仿宋" w:eastAsia="仿宋"/>
          <w:sz w:val="32"/>
          <w:szCs w:val="32"/>
          <w:lang w:eastAsia="zh-CN"/>
        </w:rPr>
        <w:t>“</w:t>
      </w:r>
      <w:r>
        <w:rPr>
          <w:rFonts w:hint="eastAsia" w:ascii="仿宋" w:hAnsi="仿宋" w:eastAsia="仿宋"/>
          <w:sz w:val="32"/>
          <w:szCs w:val="32"/>
          <w:lang w:val="en-US" w:eastAsia="zh-CN"/>
        </w:rPr>
        <w:t>国培</w:t>
      </w:r>
      <w:r>
        <w:rPr>
          <w:rFonts w:hint="eastAsia" w:ascii="仿宋" w:hAnsi="仿宋" w:eastAsia="仿宋"/>
          <w:sz w:val="32"/>
          <w:szCs w:val="32"/>
          <w:lang w:eastAsia="zh-CN"/>
        </w:rPr>
        <w:t>”</w:t>
      </w:r>
      <w:r>
        <w:rPr>
          <w:rFonts w:hint="eastAsia" w:ascii="仿宋" w:hAnsi="仿宋" w:eastAsia="仿宋"/>
          <w:sz w:val="32"/>
          <w:szCs w:val="32"/>
          <w:lang w:val="en-US" w:eastAsia="zh-CN"/>
        </w:rPr>
        <w:t>项目</w:t>
      </w:r>
      <w:r>
        <w:rPr>
          <w:rFonts w:hint="eastAsia" w:ascii="仿宋" w:hAnsi="仿宋" w:eastAsia="仿宋"/>
          <w:sz w:val="32"/>
          <w:szCs w:val="32"/>
        </w:rPr>
        <w:t>培训</w:t>
      </w:r>
      <w:r>
        <w:rPr>
          <w:rFonts w:hint="eastAsia" w:ascii="仿宋" w:hAnsi="仿宋" w:eastAsia="仿宋"/>
          <w:color w:val="000000"/>
          <w:sz w:val="32"/>
          <w:szCs w:val="32"/>
          <w:shd w:val="clear" w:color="auto" w:fill="FFFFFF"/>
        </w:rPr>
        <w:t>任务圆满完成，提高了</w:t>
      </w:r>
      <w:r>
        <w:rPr>
          <w:rFonts w:hint="eastAsia" w:ascii="仿宋" w:hAnsi="仿宋" w:eastAsia="仿宋"/>
          <w:color w:val="000000"/>
          <w:sz w:val="32"/>
          <w:szCs w:val="32"/>
          <w:shd w:val="clear" w:color="auto" w:fill="FFFFFF"/>
          <w:lang w:val="en-US" w:eastAsia="zh-CN"/>
        </w:rPr>
        <w:t>我省团干部、少先队辅导员</w:t>
      </w:r>
      <w:r>
        <w:rPr>
          <w:rFonts w:hint="eastAsia" w:ascii="仿宋" w:hAnsi="仿宋" w:eastAsia="仿宋"/>
          <w:color w:val="000000"/>
          <w:sz w:val="32"/>
          <w:szCs w:val="32"/>
          <w:shd w:val="clear" w:color="auto" w:fill="FFFFFF"/>
        </w:rPr>
        <w:t>干部队伍整体素质。</w:t>
      </w:r>
    </w:p>
    <w:p>
      <w:pPr>
        <w:ind w:firstLine="640" w:firstLineChars="200"/>
        <w:rPr>
          <w:rFonts w:hint="eastAsia" w:eastAsia="仿宋_GB2312"/>
          <w:sz w:val="24"/>
        </w:rPr>
      </w:pPr>
      <w:r>
        <w:rPr>
          <w:rFonts w:hint="eastAsia" w:ascii="仿宋" w:hAnsi="仿宋" w:eastAsia="仿宋"/>
          <w:sz w:val="32"/>
          <w:szCs w:val="32"/>
          <w:lang w:val="en-US" w:eastAsia="zh-CN"/>
        </w:rPr>
        <w:t>2.</w:t>
      </w:r>
      <w:r>
        <w:rPr>
          <w:rFonts w:hint="eastAsia" w:ascii="仿宋" w:hAnsi="仿宋" w:eastAsia="仿宋"/>
          <w:sz w:val="32"/>
          <w:szCs w:val="32"/>
        </w:rPr>
        <w:t>项目实施对经济和社会的影响。</w:t>
      </w:r>
      <w:r>
        <w:rPr>
          <w:rFonts w:hint="eastAsia" w:ascii="仿宋" w:hAnsi="仿宋" w:eastAsia="仿宋"/>
          <w:color w:val="000000"/>
          <w:sz w:val="32"/>
          <w:szCs w:val="32"/>
          <w:shd w:val="clear" w:color="auto" w:fill="FFFFFF"/>
        </w:rPr>
        <w:t>通过培训</w:t>
      </w:r>
      <w:r>
        <w:rPr>
          <w:rFonts w:hint="eastAsia" w:ascii="仿宋" w:hAnsi="仿宋" w:eastAsia="仿宋"/>
          <w:color w:val="000000"/>
          <w:sz w:val="32"/>
          <w:szCs w:val="32"/>
          <w:shd w:val="clear" w:color="auto" w:fill="FFFFFF"/>
          <w:lang w:val="en-US" w:eastAsia="zh-CN"/>
        </w:rPr>
        <w:t>我省团干部、少先队辅导员</w:t>
      </w:r>
      <w:r>
        <w:rPr>
          <w:rFonts w:hint="eastAsia" w:ascii="仿宋" w:hAnsi="仿宋" w:eastAsia="仿宋"/>
          <w:color w:val="000000"/>
          <w:sz w:val="32"/>
          <w:szCs w:val="32"/>
          <w:shd w:val="clear" w:color="auto" w:fill="FFFFFF"/>
        </w:rPr>
        <w:t>，学员整体素质明显提高，</w:t>
      </w:r>
      <w:r>
        <w:rPr>
          <w:rFonts w:hint="eastAsia" w:ascii="仿宋" w:hAnsi="仿宋" w:eastAsia="仿宋"/>
          <w:color w:val="000000"/>
          <w:sz w:val="32"/>
          <w:szCs w:val="32"/>
          <w:shd w:val="clear" w:color="auto" w:fill="FFFFFF"/>
          <w:lang w:val="en-US" w:eastAsia="zh-CN"/>
        </w:rPr>
        <w:t>为推动我省共青团工作和少先队工作更好发展奠定了良好基础</w:t>
      </w:r>
      <w:r>
        <w:rPr>
          <w:rFonts w:hint="eastAsia" w:ascii="仿宋" w:hAnsi="仿宋" w:eastAsia="仿宋"/>
          <w:color w:val="000000"/>
          <w:sz w:val="32"/>
          <w:szCs w:val="32"/>
          <w:shd w:val="clear" w:color="auto" w:fill="FFFFFF"/>
        </w:rPr>
        <w:t>。</w:t>
      </w:r>
    </w:p>
    <w:p>
      <w:pPr>
        <w:keepNext w:val="0"/>
        <w:keepLines w:val="0"/>
        <w:pageBreakBefore w:val="0"/>
        <w:widowControl w:val="0"/>
        <w:numPr>
          <w:ilvl w:val="0"/>
          <w:numId w:val="6"/>
        </w:numPr>
        <w:kinsoku/>
        <w:wordWrap/>
        <w:overflowPunct/>
        <w:topLinePunct w:val="0"/>
        <w:autoSpaceDE/>
        <w:autoSpaceDN/>
        <w:bidi w:val="0"/>
        <w:adjustRightInd/>
        <w:snapToGrid w:val="0"/>
        <w:spacing w:line="600" w:lineRule="exact"/>
        <w:ind w:firstLine="640" w:firstLineChars="200"/>
        <w:textAlignment w:val="auto"/>
        <w:outlineLvl w:val="1"/>
        <w:rPr>
          <w:rFonts w:hint="eastAsia" w:ascii="黑体" w:hAnsi="宋体" w:eastAsia="黑体"/>
          <w:sz w:val="32"/>
          <w:szCs w:val="32"/>
        </w:rPr>
      </w:pPr>
      <w:bookmarkStart w:id="96" w:name="_Toc1923"/>
      <w:bookmarkStart w:id="97" w:name="_Toc11250"/>
      <w:r>
        <w:rPr>
          <w:rFonts w:hint="eastAsia" w:ascii="黑体" w:hAnsi="宋体" w:eastAsia="黑体"/>
          <w:sz w:val="32"/>
          <w:szCs w:val="32"/>
        </w:rPr>
        <w:t>存在主要问题</w:t>
      </w:r>
      <w:bookmarkEnd w:id="96"/>
      <w:bookmarkEnd w:id="97"/>
    </w:p>
    <w:p>
      <w:pPr>
        <w:ind w:firstLine="640" w:firstLineChars="200"/>
        <w:rPr>
          <w:rFonts w:hint="eastAsia" w:ascii="仿宋" w:hAnsi="仿宋" w:eastAsia="仿宋"/>
          <w:sz w:val="32"/>
          <w:szCs w:val="32"/>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一</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少数学员工学矛盾依然存在</w:t>
      </w:r>
      <w:r>
        <w:rPr>
          <w:rFonts w:hint="eastAsia" w:ascii="楷体" w:hAnsi="楷体" w:eastAsia="楷体" w:cs="楷体"/>
          <w:b w:val="0"/>
          <w:bCs w:val="0"/>
          <w:sz w:val="32"/>
          <w:szCs w:val="32"/>
          <w:lang w:eastAsia="zh-CN"/>
        </w:rPr>
        <w:t>。</w:t>
      </w:r>
      <w:r>
        <w:rPr>
          <w:rFonts w:hint="eastAsia" w:ascii="仿宋" w:hAnsi="仿宋" w:eastAsia="仿宋"/>
          <w:sz w:val="32"/>
          <w:szCs w:val="32"/>
        </w:rPr>
        <w:t>个别学员还是放不下单位的工作，因单位一些重要会议或重要工作而不得不请假。</w:t>
      </w:r>
    </w:p>
    <w:p>
      <w:pPr>
        <w:ind w:firstLine="640" w:firstLineChars="200"/>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二</w:t>
      </w:r>
      <w:r>
        <w:rPr>
          <w:rFonts w:hint="eastAsia" w:ascii="楷体" w:hAnsi="楷体" w:eastAsia="楷体" w:cs="楷体"/>
          <w:sz w:val="32"/>
          <w:szCs w:val="32"/>
          <w:lang w:eastAsia="zh-CN"/>
        </w:rPr>
        <w:t>）</w:t>
      </w:r>
      <w:r>
        <w:rPr>
          <w:rFonts w:hint="eastAsia" w:ascii="楷体" w:hAnsi="楷体" w:eastAsia="楷体" w:cs="楷体"/>
          <w:sz w:val="32"/>
          <w:szCs w:val="32"/>
        </w:rPr>
        <w:t>后勤管理服务还要进一步优化。</w:t>
      </w:r>
      <w:r>
        <w:rPr>
          <w:rFonts w:hint="eastAsia" w:ascii="仿宋" w:hAnsi="仿宋" w:eastAsia="仿宋"/>
          <w:sz w:val="32"/>
          <w:szCs w:val="32"/>
        </w:rPr>
        <w:t>由于各方面条件限制，在</w:t>
      </w:r>
      <w:r>
        <w:rPr>
          <w:rFonts w:hint="eastAsia" w:ascii="仿宋" w:hAnsi="仿宋" w:eastAsia="仿宋"/>
          <w:sz w:val="32"/>
          <w:szCs w:val="32"/>
          <w:lang w:val="en-US" w:eastAsia="zh-CN"/>
        </w:rPr>
        <w:t>后勤</w:t>
      </w:r>
      <w:r>
        <w:rPr>
          <w:rFonts w:hint="eastAsia" w:ascii="仿宋" w:hAnsi="仿宋" w:eastAsia="仿宋"/>
          <w:sz w:val="32"/>
          <w:szCs w:val="32"/>
        </w:rPr>
        <w:t>等方面或多或少给学员带来了不便。对学员们所提的意见建议</w:t>
      </w:r>
      <w:r>
        <w:rPr>
          <w:rFonts w:hint="eastAsia" w:ascii="仿宋" w:hAnsi="仿宋" w:eastAsia="仿宋"/>
          <w:sz w:val="32"/>
          <w:szCs w:val="32"/>
          <w:lang w:eastAsia="zh-CN"/>
        </w:rPr>
        <w:t>，</w:t>
      </w:r>
      <w:r>
        <w:rPr>
          <w:rFonts w:hint="eastAsia" w:ascii="仿宋" w:hAnsi="仿宋" w:eastAsia="仿宋"/>
          <w:sz w:val="32"/>
          <w:szCs w:val="32"/>
          <w:lang w:val="en-US" w:eastAsia="zh-CN"/>
        </w:rPr>
        <w:t>我校</w:t>
      </w:r>
      <w:r>
        <w:rPr>
          <w:rFonts w:hint="eastAsia" w:ascii="仿宋" w:hAnsi="仿宋" w:eastAsia="仿宋"/>
          <w:sz w:val="32"/>
          <w:szCs w:val="32"/>
        </w:rPr>
        <w:t>将认真吸收、积极改进。</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1"/>
        <w:rPr>
          <w:rFonts w:ascii="黑体" w:hAnsi="宋体" w:eastAsia="黑体"/>
          <w:sz w:val="32"/>
          <w:szCs w:val="32"/>
        </w:rPr>
      </w:pPr>
      <w:bookmarkStart w:id="98" w:name="_Toc2151"/>
      <w:bookmarkStart w:id="99" w:name="_Toc119"/>
      <w:r>
        <w:rPr>
          <w:rFonts w:hint="eastAsia" w:ascii="黑体" w:hAnsi="宋体" w:eastAsia="黑体"/>
          <w:sz w:val="32"/>
          <w:szCs w:val="32"/>
        </w:rPr>
        <w:t>六、相关措施建议</w:t>
      </w:r>
      <w:bookmarkEnd w:id="98"/>
      <w:bookmarkEnd w:id="99"/>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（一）进一步了解诊断参训对象的培训需求，建立跟踪机制。</w:t>
      </w:r>
      <w:r>
        <w:rPr>
          <w:rFonts w:hint="eastAsia" w:ascii="仿宋" w:hAnsi="仿宋" w:eastAsia="仿宋"/>
          <w:sz w:val="32"/>
          <w:szCs w:val="32"/>
          <w:lang w:val="en-US" w:eastAsia="zh-CN"/>
        </w:rPr>
        <w:t>从横向层面来看，参训对象来自不同的地市（州）、不同的教育教学层次的参训对象在培训需求和专业基础存在一定差异。从纵向侧面来看，随着参训对象的专业成长，需求不断变化。以此，从纵横两个层面的可持续的发展来看，进一步把握和诊断参训对象需求动态是以后培训要考虑的前置条件，及时调整培训方案，满足专业发展需求。</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（二）进一步拓展培训交流，学习借鉴可复制的经验做法。</w:t>
      </w:r>
      <w:r>
        <w:rPr>
          <w:rFonts w:hint="eastAsia" w:ascii="仿宋_GB2312" w:hAnsi="仿宋_GB2312" w:eastAsia="仿宋_GB2312" w:cs="仿宋_GB2312"/>
          <w:sz w:val="32"/>
          <w:szCs w:val="32"/>
          <w:lang w:val="en-US" w:eastAsia="zh-CN"/>
        </w:rPr>
        <w:t>参训学员的培训交流不仅仅是与专家、一线教师交流。还需进一步加强参与式培训、案例分析和任务驱动、教学观摩和实地参观等方面的内容。以加强教师队伍专业化发展为目标，并结合学校中心工作需求为突破，促进学校特色发展，进一步推进工作落地落实，不断推进学校共青团和少先队工作创新发展。在观摩研讨上，在日程安排上适当减少专题讲座，多安排学员间的交流，通过组建组内的经验分享，挖掘有效资源，取长补短。</w:t>
      </w:r>
    </w:p>
    <w:p>
      <w:pPr>
        <w:pStyle w:val="19"/>
        <w:rPr>
          <w:rFonts w:hint="eastAsia" w:ascii="仿宋_GB2312" w:hAnsi="仿宋_GB2312" w:eastAsia="仿宋_GB2312" w:cs="仿宋_GB2312"/>
          <w:sz w:val="32"/>
          <w:szCs w:val="32"/>
          <w:lang w:val="en-US" w:eastAsia="zh-CN"/>
        </w:rPr>
      </w:pPr>
    </w:p>
    <w:p>
      <w:pPr>
        <w:pStyle w:val="19"/>
        <w:rPr>
          <w:rFonts w:hint="eastAsia" w:ascii="仿宋_GB2312" w:hAnsi="仿宋_GB2312" w:eastAsia="仿宋_GB2312" w:cs="仿宋_GB2312"/>
          <w:sz w:val="32"/>
          <w:szCs w:val="32"/>
          <w:lang w:val="en-US" w:eastAsia="zh-CN"/>
        </w:rPr>
      </w:pPr>
    </w:p>
    <w:p>
      <w:pPr>
        <w:pStyle w:val="19"/>
        <w:ind w:left="1380" w:leftChars="200" w:hanging="960" w:hangingChars="3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r>
        <w:rPr>
          <w:rFonts w:hint="eastAsia" w:ascii="仿宋_GB2312" w:hAnsi="Times New Roman" w:eastAsia="仿宋_GB2312" w:cs="Times New Roman"/>
          <w:color w:val="auto"/>
          <w:kern w:val="2"/>
          <w:sz w:val="32"/>
          <w:szCs w:val="32"/>
          <w:lang w:val="en-US" w:eastAsia="zh-CN" w:bidi="ar-SA"/>
        </w:rPr>
        <w:t>中小学幼儿园教师国家级培训计划</w:t>
      </w:r>
      <w:r>
        <w:rPr>
          <w:rFonts w:hint="eastAsia" w:ascii="仿宋_GB2312" w:hAnsi="仿宋_GB2312" w:eastAsia="仿宋_GB2312" w:cs="仿宋_GB2312"/>
          <w:sz w:val="32"/>
          <w:szCs w:val="32"/>
          <w:lang w:val="en-US" w:eastAsia="zh-CN"/>
        </w:rPr>
        <w:t>项目支出绩效自评评分表</w:t>
      </w:r>
    </w:p>
    <w:p>
      <w:pPr>
        <w:pStyle w:val="19"/>
        <w:ind w:left="0" w:leftChars="0" w:firstLine="0" w:firstLineChars="0"/>
        <w:jc w:val="left"/>
        <w:outlineLvl w:val="9"/>
        <w:rPr>
          <w:rFonts w:hint="eastAsia" w:ascii="方正小标宋_GBK" w:hAnsi="方正小标宋_GBK" w:eastAsia="方正小标宋_GBK" w:cs="方正小标宋_GBK"/>
          <w:sz w:val="44"/>
          <w:szCs w:val="44"/>
          <w:lang w:val="en-US" w:eastAsia="zh-CN"/>
        </w:rPr>
      </w:pPr>
    </w:p>
    <w:p>
      <w:pPr>
        <w:pStyle w:val="19"/>
        <w:ind w:left="0" w:leftChars="0" w:firstLine="0" w:firstLineChars="0"/>
        <w:jc w:val="left"/>
        <w:outlineLvl w:val="9"/>
        <w:rPr>
          <w:rFonts w:hint="eastAsia" w:ascii="方正小标宋_GBK" w:hAnsi="方正小标宋_GBK" w:eastAsia="方正小标宋_GBK" w:cs="方正小标宋_GBK"/>
          <w:sz w:val="44"/>
          <w:szCs w:val="44"/>
          <w:lang w:val="en-US" w:eastAsia="zh-CN"/>
        </w:rPr>
      </w:pPr>
    </w:p>
    <w:p>
      <w:pPr>
        <w:pStyle w:val="19"/>
        <w:ind w:left="0" w:leftChars="0" w:firstLine="0" w:firstLineChars="0"/>
        <w:jc w:val="left"/>
        <w:outlineLvl w:val="9"/>
        <w:rPr>
          <w:rFonts w:hint="eastAsia" w:ascii="方正小标宋_GBK" w:hAnsi="方正小标宋_GBK" w:eastAsia="方正小标宋_GBK" w:cs="方正小标宋_GBK"/>
          <w:sz w:val="44"/>
          <w:szCs w:val="44"/>
          <w:lang w:val="en-US" w:eastAsia="zh-CN"/>
        </w:rPr>
      </w:pPr>
    </w:p>
    <w:p>
      <w:pPr>
        <w:pStyle w:val="19"/>
        <w:ind w:left="0" w:leftChars="0" w:firstLine="0" w:firstLineChars="0"/>
        <w:jc w:val="left"/>
        <w:outlineLvl w:val="9"/>
        <w:rPr>
          <w:rFonts w:hint="eastAsia" w:ascii="方正小标宋_GBK" w:hAnsi="方正小标宋_GBK" w:eastAsia="方正小标宋_GBK" w:cs="方正小标宋_GBK"/>
          <w:sz w:val="44"/>
          <w:szCs w:val="44"/>
          <w:lang w:val="en-US" w:eastAsia="zh-CN"/>
        </w:rPr>
      </w:pPr>
    </w:p>
    <w:p>
      <w:pPr>
        <w:pStyle w:val="19"/>
        <w:ind w:left="0" w:leftChars="0" w:firstLine="0" w:firstLineChars="0"/>
        <w:jc w:val="left"/>
        <w:outlineLvl w:val="9"/>
        <w:rPr>
          <w:rFonts w:hint="eastAsia" w:ascii="方正小标宋_GBK" w:hAnsi="方正小标宋_GBK" w:eastAsia="方正小标宋_GBK" w:cs="方正小标宋_GBK"/>
          <w:sz w:val="44"/>
          <w:szCs w:val="44"/>
          <w:lang w:val="en-US" w:eastAsia="zh-CN"/>
        </w:rPr>
      </w:pPr>
    </w:p>
    <w:p>
      <w:pPr>
        <w:pStyle w:val="19"/>
        <w:ind w:left="0" w:leftChars="0" w:firstLine="0" w:firstLineChars="0"/>
        <w:jc w:val="left"/>
        <w:outlineLvl w:val="9"/>
        <w:rPr>
          <w:rFonts w:hint="eastAsia" w:ascii="方正小标宋_GBK" w:hAnsi="方正小标宋_GBK" w:eastAsia="方正小标宋_GBK" w:cs="方正小标宋_GBK"/>
          <w:sz w:val="44"/>
          <w:szCs w:val="44"/>
          <w:lang w:val="en-US" w:eastAsia="zh-CN"/>
        </w:rPr>
      </w:pPr>
    </w:p>
    <w:p>
      <w:pPr>
        <w:pStyle w:val="19"/>
        <w:ind w:left="0" w:leftChars="0" w:firstLine="0" w:firstLineChars="0"/>
        <w:jc w:val="left"/>
        <w:outlineLvl w:val="9"/>
        <w:rPr>
          <w:rFonts w:hint="eastAsia" w:ascii="方正小标宋_GBK" w:hAnsi="方正小标宋_GBK" w:eastAsia="方正小标宋_GBK" w:cs="方正小标宋_GBK"/>
          <w:sz w:val="44"/>
          <w:szCs w:val="44"/>
          <w:lang w:val="en-US" w:eastAsia="zh-CN"/>
        </w:rPr>
      </w:pPr>
    </w:p>
    <w:p>
      <w:pPr>
        <w:pStyle w:val="19"/>
        <w:ind w:left="0" w:leftChars="0" w:firstLine="0" w:firstLineChars="0"/>
        <w:jc w:val="left"/>
        <w:outlineLvl w:val="9"/>
        <w:rPr>
          <w:rFonts w:hint="eastAsia" w:ascii="方正小标宋_GBK" w:hAnsi="方正小标宋_GBK" w:eastAsia="方正小标宋_GBK" w:cs="方正小标宋_GBK"/>
          <w:sz w:val="44"/>
          <w:szCs w:val="44"/>
          <w:lang w:val="en-US" w:eastAsia="zh-CN"/>
        </w:rPr>
      </w:pPr>
    </w:p>
    <w:p>
      <w:pPr>
        <w:pStyle w:val="19"/>
        <w:ind w:left="0" w:leftChars="0" w:firstLine="0" w:firstLineChars="0"/>
        <w:jc w:val="left"/>
        <w:outlineLvl w:val="9"/>
        <w:rPr>
          <w:rFonts w:hint="eastAsia" w:ascii="方正小标宋_GBK" w:hAnsi="方正小标宋_GBK" w:eastAsia="方正小标宋_GBK" w:cs="方正小标宋_GBK"/>
          <w:sz w:val="44"/>
          <w:szCs w:val="44"/>
          <w:lang w:val="en-US" w:eastAsia="zh-CN"/>
        </w:rPr>
      </w:pPr>
    </w:p>
    <w:p>
      <w:pPr>
        <w:pStyle w:val="19"/>
        <w:ind w:left="0" w:leftChars="0" w:firstLine="0" w:firstLineChars="0"/>
        <w:jc w:val="left"/>
        <w:outlineLvl w:val="9"/>
        <w:rPr>
          <w:rFonts w:hint="eastAsia" w:ascii="方正小标宋_GBK" w:hAnsi="方正小标宋_GBK" w:eastAsia="方正小标宋_GBK" w:cs="方正小标宋_GBK"/>
          <w:sz w:val="44"/>
          <w:szCs w:val="44"/>
          <w:lang w:val="en-US" w:eastAsia="zh-CN"/>
        </w:rPr>
      </w:pPr>
    </w:p>
    <w:p>
      <w:pPr>
        <w:pStyle w:val="19"/>
        <w:ind w:left="0" w:leftChars="0" w:firstLine="0" w:firstLineChars="0"/>
        <w:jc w:val="left"/>
        <w:outlineLvl w:val="9"/>
        <w:rPr>
          <w:rFonts w:hint="eastAsia" w:ascii="方正小标宋_GBK" w:hAnsi="方正小标宋_GBK" w:eastAsia="方正小标宋_GBK" w:cs="方正小标宋_GBK"/>
          <w:sz w:val="44"/>
          <w:szCs w:val="44"/>
          <w:lang w:val="en-US" w:eastAsia="zh-CN"/>
        </w:rPr>
      </w:pPr>
    </w:p>
    <w:p>
      <w:pPr>
        <w:pStyle w:val="19"/>
        <w:ind w:left="0" w:leftChars="0" w:firstLine="0" w:firstLineChars="0"/>
        <w:jc w:val="left"/>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附件：</w:t>
      </w:r>
    </w:p>
    <w:p>
      <w:pPr>
        <w:pStyle w:val="19"/>
        <w:ind w:left="0" w:leftChars="0" w:firstLine="0" w:firstLineChars="0"/>
        <w:jc w:val="center"/>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中小学幼儿园教师国家级培训计划项目</w:t>
      </w:r>
    </w:p>
    <w:p>
      <w:pPr>
        <w:pStyle w:val="19"/>
        <w:ind w:left="0" w:leftChars="0" w:firstLine="0" w:firstLineChars="0"/>
        <w:jc w:val="center"/>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支出绩效自评评分表</w:t>
      </w:r>
    </w:p>
    <w:p>
      <w:pPr>
        <w:pStyle w:val="19"/>
        <w:ind w:left="0" w:leftChars="0" w:firstLine="0" w:firstLineChars="0"/>
        <w:rPr>
          <w:rFonts w:hint="eastAsia" w:ascii="仿宋_GB2312" w:hAnsi="仿宋_GB2312" w:eastAsia="仿宋_GB2312" w:cs="仿宋_GB2312"/>
          <w:sz w:val="32"/>
          <w:szCs w:val="32"/>
          <w:lang w:val="en-US" w:eastAsia="zh-CN"/>
        </w:rPr>
      </w:pPr>
    </w:p>
    <w:tbl>
      <w:tblPr>
        <w:tblStyle w:val="18"/>
        <w:tblW w:w="86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7"/>
        <w:gridCol w:w="915"/>
        <w:gridCol w:w="1619"/>
        <w:gridCol w:w="882"/>
        <w:gridCol w:w="1582"/>
        <w:gridCol w:w="975"/>
        <w:gridCol w:w="1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8" w:type="dxa"/>
            <w:gridSpan w:val="7"/>
            <w:vAlign w:val="center"/>
          </w:tcPr>
          <w:p>
            <w:pPr>
              <w:pStyle w:val="19"/>
              <w:keepNext w:val="0"/>
              <w:keepLines w:val="0"/>
              <w:pageBreakBefore w:val="0"/>
              <w:widowControl w:val="0"/>
              <w:numPr>
                <w:ilvl w:val="0"/>
                <w:numId w:val="0"/>
              </w:numPr>
              <w:kinsoku/>
              <w:wordWrap/>
              <w:overflowPunct/>
              <w:topLinePunct w:val="0"/>
              <w:autoSpaceDE/>
              <w:autoSpaceDN/>
              <w:bidi w:val="0"/>
              <w:adjustRightInd/>
              <w:spacing w:line="5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评价指标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12" w:type="dxa"/>
            <w:gridSpan w:val="2"/>
            <w:vAlign w:val="center"/>
          </w:tcPr>
          <w:p>
            <w:pPr>
              <w:pStyle w:val="19"/>
              <w:keepNext w:val="0"/>
              <w:keepLines w:val="0"/>
              <w:pageBreakBefore w:val="0"/>
              <w:widowControl w:val="0"/>
              <w:numPr>
                <w:ilvl w:val="0"/>
                <w:numId w:val="0"/>
              </w:numPr>
              <w:kinsoku/>
              <w:wordWrap/>
              <w:overflowPunct/>
              <w:topLinePunct w:val="0"/>
              <w:autoSpaceDE/>
              <w:autoSpaceDN/>
              <w:bidi w:val="0"/>
              <w:adjustRightInd/>
              <w:spacing w:line="5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一级指标</w:t>
            </w:r>
          </w:p>
        </w:tc>
        <w:tc>
          <w:tcPr>
            <w:tcW w:w="2501" w:type="dxa"/>
            <w:gridSpan w:val="2"/>
            <w:vAlign w:val="center"/>
          </w:tcPr>
          <w:p>
            <w:pPr>
              <w:pStyle w:val="19"/>
              <w:keepNext w:val="0"/>
              <w:keepLines w:val="0"/>
              <w:pageBreakBefore w:val="0"/>
              <w:widowControl w:val="0"/>
              <w:numPr>
                <w:ilvl w:val="0"/>
                <w:numId w:val="0"/>
              </w:numPr>
              <w:kinsoku/>
              <w:wordWrap/>
              <w:overflowPunct/>
              <w:topLinePunct w:val="0"/>
              <w:autoSpaceDE/>
              <w:autoSpaceDN/>
              <w:bidi w:val="0"/>
              <w:adjustRightInd/>
              <w:spacing w:line="5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二级指标</w:t>
            </w:r>
          </w:p>
        </w:tc>
        <w:tc>
          <w:tcPr>
            <w:tcW w:w="2557" w:type="dxa"/>
            <w:gridSpan w:val="2"/>
            <w:vAlign w:val="center"/>
          </w:tcPr>
          <w:p>
            <w:pPr>
              <w:pStyle w:val="19"/>
              <w:keepNext w:val="0"/>
              <w:keepLines w:val="0"/>
              <w:pageBreakBefore w:val="0"/>
              <w:widowControl w:val="0"/>
              <w:numPr>
                <w:ilvl w:val="0"/>
                <w:numId w:val="0"/>
              </w:numPr>
              <w:kinsoku/>
              <w:wordWrap/>
              <w:overflowPunct/>
              <w:topLinePunct w:val="0"/>
              <w:autoSpaceDE/>
              <w:autoSpaceDN/>
              <w:bidi w:val="0"/>
              <w:adjustRightInd/>
              <w:spacing w:line="5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三级指标</w:t>
            </w:r>
          </w:p>
        </w:tc>
        <w:tc>
          <w:tcPr>
            <w:tcW w:w="1478" w:type="dxa"/>
            <w:vMerge w:val="restart"/>
            <w:vAlign w:val="center"/>
          </w:tcPr>
          <w:p>
            <w:pPr>
              <w:pStyle w:val="19"/>
              <w:keepNext w:val="0"/>
              <w:keepLines w:val="0"/>
              <w:pageBreakBefore w:val="0"/>
              <w:widowControl w:val="0"/>
              <w:numPr>
                <w:ilvl w:val="0"/>
                <w:numId w:val="0"/>
              </w:numPr>
              <w:kinsoku/>
              <w:wordWrap/>
              <w:overflowPunct/>
              <w:topLinePunct w:val="0"/>
              <w:autoSpaceDE/>
              <w:autoSpaceDN/>
              <w:bidi w:val="0"/>
              <w:adjustRightInd/>
              <w:spacing w:line="5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97" w:type="dxa"/>
            <w:vAlign w:val="center"/>
          </w:tcPr>
          <w:p>
            <w:pPr>
              <w:pStyle w:val="19"/>
              <w:keepNext w:val="0"/>
              <w:keepLines w:val="0"/>
              <w:pageBreakBefore w:val="0"/>
              <w:widowControl w:val="0"/>
              <w:numPr>
                <w:ilvl w:val="0"/>
                <w:numId w:val="0"/>
              </w:numPr>
              <w:kinsoku/>
              <w:wordWrap/>
              <w:overflowPunct/>
              <w:topLinePunct w:val="0"/>
              <w:autoSpaceDE/>
              <w:autoSpaceDN/>
              <w:bidi w:val="0"/>
              <w:adjustRightInd/>
              <w:spacing w:line="560" w:lineRule="exact"/>
              <w:ind w:left="0" w:leftChars="0"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名称</w:t>
            </w:r>
          </w:p>
        </w:tc>
        <w:tc>
          <w:tcPr>
            <w:tcW w:w="915" w:type="dxa"/>
            <w:vAlign w:val="center"/>
          </w:tcPr>
          <w:p>
            <w:pPr>
              <w:pStyle w:val="19"/>
              <w:keepNext w:val="0"/>
              <w:keepLines w:val="0"/>
              <w:pageBreakBefore w:val="0"/>
              <w:widowControl w:val="0"/>
              <w:numPr>
                <w:ilvl w:val="0"/>
                <w:numId w:val="0"/>
              </w:numPr>
              <w:kinsoku/>
              <w:wordWrap/>
              <w:overflowPunct/>
              <w:topLinePunct w:val="0"/>
              <w:autoSpaceDE/>
              <w:autoSpaceDN/>
              <w:bidi w:val="0"/>
              <w:adjustRightInd/>
              <w:spacing w:line="560" w:lineRule="exact"/>
              <w:ind w:left="0" w:leftChars="0"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分值</w:t>
            </w:r>
          </w:p>
        </w:tc>
        <w:tc>
          <w:tcPr>
            <w:tcW w:w="1619" w:type="dxa"/>
            <w:vAlign w:val="center"/>
          </w:tcPr>
          <w:p>
            <w:pPr>
              <w:pStyle w:val="19"/>
              <w:keepNext w:val="0"/>
              <w:keepLines w:val="0"/>
              <w:pageBreakBefore w:val="0"/>
              <w:widowControl w:val="0"/>
              <w:numPr>
                <w:ilvl w:val="0"/>
                <w:numId w:val="0"/>
              </w:numPr>
              <w:kinsoku/>
              <w:wordWrap/>
              <w:overflowPunct/>
              <w:topLinePunct w:val="0"/>
              <w:autoSpaceDE/>
              <w:autoSpaceDN/>
              <w:bidi w:val="0"/>
              <w:adjustRightInd/>
              <w:spacing w:line="560" w:lineRule="exact"/>
              <w:ind w:left="0" w:leftChars="0"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名称</w:t>
            </w:r>
          </w:p>
        </w:tc>
        <w:tc>
          <w:tcPr>
            <w:tcW w:w="882" w:type="dxa"/>
            <w:vAlign w:val="center"/>
          </w:tcPr>
          <w:p>
            <w:pPr>
              <w:pStyle w:val="19"/>
              <w:keepNext w:val="0"/>
              <w:keepLines w:val="0"/>
              <w:pageBreakBefore w:val="0"/>
              <w:widowControl w:val="0"/>
              <w:numPr>
                <w:ilvl w:val="0"/>
                <w:numId w:val="0"/>
              </w:numPr>
              <w:kinsoku/>
              <w:wordWrap/>
              <w:overflowPunct/>
              <w:topLinePunct w:val="0"/>
              <w:autoSpaceDE/>
              <w:autoSpaceDN/>
              <w:bidi w:val="0"/>
              <w:adjustRightInd/>
              <w:spacing w:line="560" w:lineRule="exact"/>
              <w:ind w:left="0" w:leftChars="0"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分值</w:t>
            </w:r>
          </w:p>
        </w:tc>
        <w:tc>
          <w:tcPr>
            <w:tcW w:w="1582" w:type="dxa"/>
            <w:vAlign w:val="center"/>
          </w:tcPr>
          <w:p>
            <w:pPr>
              <w:pStyle w:val="19"/>
              <w:keepNext w:val="0"/>
              <w:keepLines w:val="0"/>
              <w:pageBreakBefore w:val="0"/>
              <w:widowControl w:val="0"/>
              <w:numPr>
                <w:ilvl w:val="0"/>
                <w:numId w:val="0"/>
              </w:numPr>
              <w:kinsoku/>
              <w:wordWrap/>
              <w:overflowPunct/>
              <w:topLinePunct w:val="0"/>
              <w:autoSpaceDE/>
              <w:autoSpaceDN/>
              <w:bidi w:val="0"/>
              <w:adjustRightInd/>
              <w:spacing w:line="560" w:lineRule="exact"/>
              <w:ind w:left="0" w:leftChars="0"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名称</w:t>
            </w:r>
          </w:p>
        </w:tc>
        <w:tc>
          <w:tcPr>
            <w:tcW w:w="975" w:type="dxa"/>
            <w:vAlign w:val="center"/>
          </w:tcPr>
          <w:p>
            <w:pPr>
              <w:pStyle w:val="19"/>
              <w:keepNext w:val="0"/>
              <w:keepLines w:val="0"/>
              <w:pageBreakBefore w:val="0"/>
              <w:widowControl w:val="0"/>
              <w:numPr>
                <w:ilvl w:val="0"/>
                <w:numId w:val="0"/>
              </w:numPr>
              <w:kinsoku/>
              <w:wordWrap/>
              <w:overflowPunct/>
              <w:topLinePunct w:val="0"/>
              <w:autoSpaceDE/>
              <w:autoSpaceDN/>
              <w:bidi w:val="0"/>
              <w:adjustRightInd/>
              <w:spacing w:line="560" w:lineRule="exact"/>
              <w:ind w:left="0" w:leftChars="0"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分值</w:t>
            </w:r>
          </w:p>
        </w:tc>
        <w:tc>
          <w:tcPr>
            <w:tcW w:w="1478" w:type="dxa"/>
            <w:vMerge w:val="continue"/>
            <w:vAlign w:val="center"/>
          </w:tcPr>
          <w:p>
            <w:pPr>
              <w:pStyle w:val="19"/>
              <w:keepNext w:val="0"/>
              <w:keepLines w:val="0"/>
              <w:pageBreakBefore w:val="0"/>
              <w:widowControl w:val="0"/>
              <w:numPr>
                <w:ilvl w:val="0"/>
                <w:numId w:val="0"/>
              </w:numPr>
              <w:kinsoku/>
              <w:wordWrap/>
              <w:overflowPunct/>
              <w:topLinePunct w:val="0"/>
              <w:autoSpaceDE/>
              <w:autoSpaceDN/>
              <w:bidi w:val="0"/>
              <w:adjustRightInd/>
              <w:spacing w:line="56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197" w:type="dxa"/>
            <w:vAlign w:val="center"/>
          </w:tcPr>
          <w:p>
            <w:pPr>
              <w:pStyle w:val="19"/>
              <w:keepNext w:val="0"/>
              <w:keepLines w:val="0"/>
              <w:pageBreakBefore w:val="0"/>
              <w:widowControl w:val="0"/>
              <w:numPr>
                <w:ilvl w:val="0"/>
                <w:numId w:val="0"/>
              </w:numPr>
              <w:kinsoku/>
              <w:wordWrap/>
              <w:overflowPunct/>
              <w:topLinePunct w:val="0"/>
              <w:autoSpaceDE/>
              <w:autoSpaceDN/>
              <w:bidi w:val="0"/>
              <w:adjustRightInd/>
              <w:spacing w:line="5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合计</w:t>
            </w:r>
          </w:p>
        </w:tc>
        <w:tc>
          <w:tcPr>
            <w:tcW w:w="915" w:type="dxa"/>
            <w:vAlign w:val="center"/>
          </w:tcPr>
          <w:p>
            <w:pPr>
              <w:pStyle w:val="19"/>
              <w:keepNext w:val="0"/>
              <w:keepLines w:val="0"/>
              <w:pageBreakBefore w:val="0"/>
              <w:widowControl w:val="0"/>
              <w:numPr>
                <w:ilvl w:val="0"/>
                <w:numId w:val="0"/>
              </w:numPr>
              <w:kinsoku/>
              <w:wordWrap/>
              <w:overflowPunct/>
              <w:topLinePunct w:val="0"/>
              <w:autoSpaceDE/>
              <w:autoSpaceDN/>
              <w:bidi w:val="0"/>
              <w:adjustRightInd/>
              <w:spacing w:line="5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100</w:t>
            </w:r>
          </w:p>
        </w:tc>
        <w:tc>
          <w:tcPr>
            <w:tcW w:w="1619" w:type="dxa"/>
            <w:vAlign w:val="center"/>
          </w:tcPr>
          <w:p>
            <w:pPr>
              <w:pStyle w:val="19"/>
              <w:keepNext w:val="0"/>
              <w:keepLines w:val="0"/>
              <w:pageBreakBefore w:val="0"/>
              <w:widowControl w:val="0"/>
              <w:numPr>
                <w:ilvl w:val="0"/>
                <w:numId w:val="0"/>
              </w:numPr>
              <w:kinsoku/>
              <w:wordWrap/>
              <w:overflowPunct/>
              <w:topLinePunct w:val="0"/>
              <w:autoSpaceDE/>
              <w:autoSpaceDN/>
              <w:bidi w:val="0"/>
              <w:adjustRightInd/>
              <w:spacing w:line="560" w:lineRule="exact"/>
              <w:jc w:val="center"/>
              <w:textAlignment w:val="auto"/>
              <w:rPr>
                <w:rFonts w:hint="eastAsia" w:ascii="仿宋" w:hAnsi="仿宋" w:eastAsia="仿宋" w:cs="仿宋"/>
                <w:sz w:val="24"/>
                <w:szCs w:val="24"/>
                <w:vertAlign w:val="baseline"/>
                <w:lang w:val="en-US" w:eastAsia="zh-CN"/>
              </w:rPr>
            </w:pPr>
          </w:p>
        </w:tc>
        <w:tc>
          <w:tcPr>
            <w:tcW w:w="882" w:type="dxa"/>
            <w:vAlign w:val="center"/>
          </w:tcPr>
          <w:p>
            <w:pPr>
              <w:pStyle w:val="19"/>
              <w:keepNext w:val="0"/>
              <w:keepLines w:val="0"/>
              <w:pageBreakBefore w:val="0"/>
              <w:widowControl w:val="0"/>
              <w:numPr>
                <w:ilvl w:val="0"/>
                <w:numId w:val="0"/>
              </w:numPr>
              <w:kinsoku/>
              <w:wordWrap/>
              <w:overflowPunct/>
              <w:topLinePunct w:val="0"/>
              <w:autoSpaceDE/>
              <w:autoSpaceDN/>
              <w:bidi w:val="0"/>
              <w:adjustRightInd/>
              <w:spacing w:line="5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100</w:t>
            </w:r>
          </w:p>
        </w:tc>
        <w:tc>
          <w:tcPr>
            <w:tcW w:w="1582" w:type="dxa"/>
            <w:vAlign w:val="center"/>
          </w:tcPr>
          <w:p>
            <w:pPr>
              <w:pStyle w:val="19"/>
              <w:keepNext w:val="0"/>
              <w:keepLines w:val="0"/>
              <w:pageBreakBefore w:val="0"/>
              <w:widowControl w:val="0"/>
              <w:numPr>
                <w:ilvl w:val="0"/>
                <w:numId w:val="0"/>
              </w:numPr>
              <w:kinsoku/>
              <w:wordWrap/>
              <w:overflowPunct/>
              <w:topLinePunct w:val="0"/>
              <w:autoSpaceDE/>
              <w:autoSpaceDN/>
              <w:bidi w:val="0"/>
              <w:adjustRightInd/>
              <w:spacing w:line="560" w:lineRule="exact"/>
              <w:jc w:val="center"/>
              <w:textAlignment w:val="auto"/>
              <w:rPr>
                <w:rFonts w:hint="eastAsia" w:ascii="仿宋" w:hAnsi="仿宋" w:eastAsia="仿宋" w:cs="仿宋"/>
                <w:sz w:val="24"/>
                <w:szCs w:val="24"/>
                <w:vertAlign w:val="baseline"/>
                <w:lang w:val="en-US" w:eastAsia="zh-CN"/>
              </w:rPr>
            </w:pPr>
          </w:p>
        </w:tc>
        <w:tc>
          <w:tcPr>
            <w:tcW w:w="975" w:type="dxa"/>
            <w:vAlign w:val="center"/>
          </w:tcPr>
          <w:p>
            <w:pPr>
              <w:pStyle w:val="19"/>
              <w:keepNext w:val="0"/>
              <w:keepLines w:val="0"/>
              <w:pageBreakBefore w:val="0"/>
              <w:widowControl w:val="0"/>
              <w:numPr>
                <w:ilvl w:val="0"/>
                <w:numId w:val="0"/>
              </w:numPr>
              <w:kinsoku/>
              <w:wordWrap/>
              <w:overflowPunct/>
              <w:topLinePunct w:val="0"/>
              <w:autoSpaceDE/>
              <w:autoSpaceDN/>
              <w:bidi w:val="0"/>
              <w:adjustRightInd/>
              <w:spacing w:line="5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100</w:t>
            </w:r>
          </w:p>
        </w:tc>
        <w:tc>
          <w:tcPr>
            <w:tcW w:w="1478" w:type="dxa"/>
            <w:vMerge w:val="continue"/>
            <w:vAlign w:val="center"/>
          </w:tcPr>
          <w:p>
            <w:pPr>
              <w:pStyle w:val="19"/>
              <w:keepNext w:val="0"/>
              <w:keepLines w:val="0"/>
              <w:pageBreakBefore w:val="0"/>
              <w:widowControl w:val="0"/>
              <w:numPr>
                <w:ilvl w:val="0"/>
                <w:numId w:val="0"/>
              </w:numPr>
              <w:kinsoku/>
              <w:wordWrap/>
              <w:overflowPunct/>
              <w:topLinePunct w:val="0"/>
              <w:autoSpaceDE/>
              <w:autoSpaceDN/>
              <w:bidi w:val="0"/>
              <w:adjustRightInd/>
              <w:spacing w:line="56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97" w:type="dxa"/>
            <w:vMerge w:val="restart"/>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决策</w:t>
            </w:r>
          </w:p>
        </w:tc>
        <w:tc>
          <w:tcPr>
            <w:tcW w:w="915" w:type="dxa"/>
            <w:vMerge w:val="restart"/>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18</w:t>
            </w:r>
          </w:p>
        </w:tc>
        <w:tc>
          <w:tcPr>
            <w:tcW w:w="1619" w:type="dxa"/>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项目立项</w:t>
            </w:r>
          </w:p>
        </w:tc>
        <w:tc>
          <w:tcPr>
            <w:tcW w:w="882" w:type="dxa"/>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1582" w:type="dxa"/>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论证决策</w:t>
            </w:r>
          </w:p>
        </w:tc>
        <w:tc>
          <w:tcPr>
            <w:tcW w:w="975" w:type="dxa"/>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1478" w:type="dxa"/>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1197" w:type="dxa"/>
            <w:vMerge w:val="continue"/>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p>
        </w:tc>
        <w:tc>
          <w:tcPr>
            <w:tcW w:w="915" w:type="dxa"/>
            <w:vMerge w:val="continue"/>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p>
        </w:tc>
        <w:tc>
          <w:tcPr>
            <w:tcW w:w="1619" w:type="dxa"/>
            <w:vMerge w:val="restart"/>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目标设置</w:t>
            </w:r>
          </w:p>
        </w:tc>
        <w:tc>
          <w:tcPr>
            <w:tcW w:w="882" w:type="dxa"/>
            <w:vMerge w:val="restart"/>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1582" w:type="dxa"/>
            <w:vMerge w:val="restart"/>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目标完整性</w:t>
            </w:r>
          </w:p>
        </w:tc>
        <w:tc>
          <w:tcPr>
            <w:tcW w:w="975" w:type="dxa"/>
            <w:vMerge w:val="restart"/>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1478" w:type="dxa"/>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jc w:val="center"/>
        </w:trPr>
        <w:tc>
          <w:tcPr>
            <w:tcW w:w="1197" w:type="dxa"/>
            <w:vMerge w:val="continue"/>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p>
        </w:tc>
        <w:tc>
          <w:tcPr>
            <w:tcW w:w="915" w:type="dxa"/>
            <w:vMerge w:val="continue"/>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p>
        </w:tc>
        <w:tc>
          <w:tcPr>
            <w:tcW w:w="1619" w:type="dxa"/>
            <w:vMerge w:val="continue"/>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p>
        </w:tc>
        <w:tc>
          <w:tcPr>
            <w:tcW w:w="882" w:type="dxa"/>
            <w:vMerge w:val="continue"/>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p>
        </w:tc>
        <w:tc>
          <w:tcPr>
            <w:tcW w:w="1582" w:type="dxa"/>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目标科学性</w:t>
            </w:r>
          </w:p>
        </w:tc>
        <w:tc>
          <w:tcPr>
            <w:tcW w:w="975" w:type="dxa"/>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1478" w:type="dxa"/>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1197" w:type="dxa"/>
            <w:vMerge w:val="continue"/>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915" w:type="dxa"/>
            <w:vMerge w:val="continue"/>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p>
        </w:tc>
        <w:tc>
          <w:tcPr>
            <w:tcW w:w="1619" w:type="dxa"/>
            <w:vMerge w:val="restart"/>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资金投入</w:t>
            </w:r>
          </w:p>
        </w:tc>
        <w:tc>
          <w:tcPr>
            <w:tcW w:w="882" w:type="dxa"/>
            <w:vMerge w:val="restart"/>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1582" w:type="dxa"/>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资金分配</w:t>
            </w:r>
          </w:p>
        </w:tc>
        <w:tc>
          <w:tcPr>
            <w:tcW w:w="975" w:type="dxa"/>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1478" w:type="dxa"/>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197" w:type="dxa"/>
            <w:vMerge w:val="restart"/>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过程</w:t>
            </w:r>
          </w:p>
        </w:tc>
        <w:tc>
          <w:tcPr>
            <w:tcW w:w="915" w:type="dxa"/>
            <w:vMerge w:val="restart"/>
            <w:vAlign w:val="center"/>
          </w:tcPr>
          <w:p>
            <w:pPr>
              <w:pStyle w:val="19"/>
              <w:keepNext w:val="0"/>
              <w:keepLines w:val="0"/>
              <w:pageBreakBefore w:val="0"/>
              <w:widowControl w:val="0"/>
              <w:numPr>
                <w:ilvl w:val="0"/>
                <w:numId w:val="0"/>
              </w:numPr>
              <w:tabs>
                <w:tab w:val="left" w:pos="273"/>
              </w:tabs>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ab/>
            </w:r>
            <w:r>
              <w:rPr>
                <w:rFonts w:hint="eastAsia" w:ascii="仿宋" w:hAnsi="仿宋" w:eastAsia="仿宋" w:cs="仿宋"/>
                <w:sz w:val="24"/>
                <w:szCs w:val="24"/>
                <w:vertAlign w:val="baseline"/>
                <w:lang w:val="en-US" w:eastAsia="zh-CN"/>
              </w:rPr>
              <w:t>22</w:t>
            </w:r>
          </w:p>
        </w:tc>
        <w:tc>
          <w:tcPr>
            <w:tcW w:w="1619" w:type="dxa"/>
            <w:vMerge w:val="restart"/>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资金管理</w:t>
            </w:r>
          </w:p>
        </w:tc>
        <w:tc>
          <w:tcPr>
            <w:tcW w:w="882" w:type="dxa"/>
            <w:vMerge w:val="restart"/>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10</w:t>
            </w:r>
          </w:p>
        </w:tc>
        <w:tc>
          <w:tcPr>
            <w:tcW w:w="1582" w:type="dxa"/>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资金到位</w:t>
            </w:r>
          </w:p>
        </w:tc>
        <w:tc>
          <w:tcPr>
            <w:tcW w:w="975" w:type="dxa"/>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1478" w:type="dxa"/>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197" w:type="dxa"/>
            <w:vMerge w:val="continue"/>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p>
        </w:tc>
        <w:tc>
          <w:tcPr>
            <w:tcW w:w="915" w:type="dxa"/>
            <w:vMerge w:val="continue"/>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p>
        </w:tc>
        <w:tc>
          <w:tcPr>
            <w:tcW w:w="1619" w:type="dxa"/>
            <w:vMerge w:val="continue"/>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p>
        </w:tc>
        <w:tc>
          <w:tcPr>
            <w:tcW w:w="882" w:type="dxa"/>
            <w:vMerge w:val="continue"/>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p>
        </w:tc>
        <w:tc>
          <w:tcPr>
            <w:tcW w:w="1582" w:type="dxa"/>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资金支付</w:t>
            </w:r>
          </w:p>
        </w:tc>
        <w:tc>
          <w:tcPr>
            <w:tcW w:w="975" w:type="dxa"/>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1478" w:type="dxa"/>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97" w:type="dxa"/>
            <w:vMerge w:val="continue"/>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p>
        </w:tc>
        <w:tc>
          <w:tcPr>
            <w:tcW w:w="915" w:type="dxa"/>
            <w:vMerge w:val="continue"/>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p>
        </w:tc>
        <w:tc>
          <w:tcPr>
            <w:tcW w:w="1619" w:type="dxa"/>
            <w:vMerge w:val="restart"/>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组织实施</w:t>
            </w:r>
          </w:p>
        </w:tc>
        <w:tc>
          <w:tcPr>
            <w:tcW w:w="882" w:type="dxa"/>
            <w:vMerge w:val="restart"/>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12</w:t>
            </w:r>
          </w:p>
        </w:tc>
        <w:tc>
          <w:tcPr>
            <w:tcW w:w="1582" w:type="dxa"/>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实施程序</w:t>
            </w:r>
          </w:p>
        </w:tc>
        <w:tc>
          <w:tcPr>
            <w:tcW w:w="975" w:type="dxa"/>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1478" w:type="dxa"/>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97" w:type="dxa"/>
            <w:vMerge w:val="continue"/>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p>
        </w:tc>
        <w:tc>
          <w:tcPr>
            <w:tcW w:w="915" w:type="dxa"/>
            <w:vMerge w:val="continue"/>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p>
        </w:tc>
        <w:tc>
          <w:tcPr>
            <w:tcW w:w="1619" w:type="dxa"/>
            <w:vMerge w:val="continue"/>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p>
        </w:tc>
        <w:tc>
          <w:tcPr>
            <w:tcW w:w="882" w:type="dxa"/>
            <w:vMerge w:val="continue"/>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p>
        </w:tc>
        <w:tc>
          <w:tcPr>
            <w:tcW w:w="1582" w:type="dxa"/>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管理情况</w:t>
            </w:r>
          </w:p>
        </w:tc>
        <w:tc>
          <w:tcPr>
            <w:tcW w:w="975" w:type="dxa"/>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1478" w:type="dxa"/>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97" w:type="dxa"/>
            <w:vMerge w:val="continue"/>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p>
        </w:tc>
        <w:tc>
          <w:tcPr>
            <w:tcW w:w="915" w:type="dxa"/>
            <w:vMerge w:val="continue"/>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p>
        </w:tc>
        <w:tc>
          <w:tcPr>
            <w:tcW w:w="1619" w:type="dxa"/>
            <w:vMerge w:val="continue"/>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p>
        </w:tc>
        <w:tc>
          <w:tcPr>
            <w:tcW w:w="882" w:type="dxa"/>
            <w:vMerge w:val="continue"/>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p>
        </w:tc>
        <w:tc>
          <w:tcPr>
            <w:tcW w:w="1582" w:type="dxa"/>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绩效管理</w:t>
            </w:r>
          </w:p>
        </w:tc>
        <w:tc>
          <w:tcPr>
            <w:tcW w:w="975" w:type="dxa"/>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1478" w:type="dxa"/>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1197" w:type="dxa"/>
            <w:vMerge w:val="restart"/>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产出</w:t>
            </w:r>
          </w:p>
        </w:tc>
        <w:tc>
          <w:tcPr>
            <w:tcW w:w="915" w:type="dxa"/>
            <w:vMerge w:val="restart"/>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30</w:t>
            </w:r>
          </w:p>
        </w:tc>
        <w:tc>
          <w:tcPr>
            <w:tcW w:w="1619" w:type="dxa"/>
            <w:vMerge w:val="restart"/>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经济性</w:t>
            </w:r>
          </w:p>
        </w:tc>
        <w:tc>
          <w:tcPr>
            <w:tcW w:w="882" w:type="dxa"/>
            <w:vMerge w:val="restart"/>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1582" w:type="dxa"/>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预算控制</w:t>
            </w:r>
          </w:p>
        </w:tc>
        <w:tc>
          <w:tcPr>
            <w:tcW w:w="975" w:type="dxa"/>
            <w:vMerge w:val="restart"/>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1478" w:type="dxa"/>
            <w:vMerge w:val="restart"/>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1197" w:type="dxa"/>
            <w:vMerge w:val="continue"/>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p>
        </w:tc>
        <w:tc>
          <w:tcPr>
            <w:tcW w:w="915" w:type="dxa"/>
            <w:vMerge w:val="continue"/>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p>
        </w:tc>
        <w:tc>
          <w:tcPr>
            <w:tcW w:w="1619" w:type="dxa"/>
            <w:vMerge w:val="restart"/>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效率性</w:t>
            </w:r>
          </w:p>
        </w:tc>
        <w:tc>
          <w:tcPr>
            <w:tcW w:w="882" w:type="dxa"/>
            <w:vMerge w:val="restart"/>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22</w:t>
            </w:r>
          </w:p>
        </w:tc>
        <w:tc>
          <w:tcPr>
            <w:tcW w:w="1582" w:type="dxa"/>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完成进度</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p>
        </w:tc>
        <w:tc>
          <w:tcPr>
            <w:tcW w:w="975" w:type="dxa"/>
            <w:vMerge w:val="restart"/>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22</w:t>
            </w:r>
          </w:p>
        </w:tc>
        <w:tc>
          <w:tcPr>
            <w:tcW w:w="1478" w:type="dxa"/>
            <w:vMerge w:val="restart"/>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jc w:val="center"/>
        </w:trPr>
        <w:tc>
          <w:tcPr>
            <w:tcW w:w="1197" w:type="dxa"/>
            <w:vMerge w:val="restart"/>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效益</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p>
        </w:tc>
        <w:tc>
          <w:tcPr>
            <w:tcW w:w="915" w:type="dxa"/>
            <w:vMerge w:val="restart"/>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30</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p>
        </w:tc>
        <w:tc>
          <w:tcPr>
            <w:tcW w:w="1619" w:type="dxa"/>
            <w:vMerge w:val="restart"/>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效果性</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p>
        </w:tc>
        <w:tc>
          <w:tcPr>
            <w:tcW w:w="882" w:type="dxa"/>
            <w:vMerge w:val="restart"/>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30</w:t>
            </w:r>
          </w:p>
        </w:tc>
        <w:tc>
          <w:tcPr>
            <w:tcW w:w="1582" w:type="dxa"/>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p>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社会效益</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p>
        </w:tc>
        <w:tc>
          <w:tcPr>
            <w:tcW w:w="975" w:type="dxa"/>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p>
          <w:p>
            <w:pPr>
              <w:bidi w:val="0"/>
              <w:ind w:firstLine="21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w:t>
            </w:r>
          </w:p>
        </w:tc>
        <w:tc>
          <w:tcPr>
            <w:tcW w:w="1478" w:type="dxa"/>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97" w:type="dxa"/>
            <w:vMerge w:val="continue"/>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p>
        </w:tc>
        <w:tc>
          <w:tcPr>
            <w:tcW w:w="915" w:type="dxa"/>
            <w:vMerge w:val="continue"/>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p>
        </w:tc>
        <w:tc>
          <w:tcPr>
            <w:tcW w:w="1619" w:type="dxa"/>
            <w:vMerge w:val="continue"/>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p>
        </w:tc>
        <w:tc>
          <w:tcPr>
            <w:tcW w:w="882" w:type="dxa"/>
            <w:vMerge w:val="continue"/>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p>
        </w:tc>
        <w:tc>
          <w:tcPr>
            <w:tcW w:w="1582" w:type="dxa"/>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可持续发展</w:t>
            </w:r>
          </w:p>
        </w:tc>
        <w:tc>
          <w:tcPr>
            <w:tcW w:w="975" w:type="dxa"/>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1478" w:type="dxa"/>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97" w:type="dxa"/>
            <w:vMerge w:val="continue"/>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p>
        </w:tc>
        <w:tc>
          <w:tcPr>
            <w:tcW w:w="915" w:type="dxa"/>
            <w:vMerge w:val="continue"/>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p>
        </w:tc>
        <w:tc>
          <w:tcPr>
            <w:tcW w:w="1619" w:type="dxa"/>
            <w:vMerge w:val="continue"/>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p>
        </w:tc>
        <w:tc>
          <w:tcPr>
            <w:tcW w:w="882" w:type="dxa"/>
            <w:vMerge w:val="continue"/>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p>
        </w:tc>
        <w:tc>
          <w:tcPr>
            <w:tcW w:w="1582" w:type="dxa"/>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满意度</w:t>
            </w:r>
          </w:p>
        </w:tc>
        <w:tc>
          <w:tcPr>
            <w:tcW w:w="975" w:type="dxa"/>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1478" w:type="dxa"/>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97" w:type="dxa"/>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总分</w:t>
            </w:r>
          </w:p>
        </w:tc>
        <w:tc>
          <w:tcPr>
            <w:tcW w:w="915" w:type="dxa"/>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p>
        </w:tc>
        <w:tc>
          <w:tcPr>
            <w:tcW w:w="1619" w:type="dxa"/>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p>
        </w:tc>
        <w:tc>
          <w:tcPr>
            <w:tcW w:w="882" w:type="dxa"/>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p>
        </w:tc>
        <w:tc>
          <w:tcPr>
            <w:tcW w:w="1582" w:type="dxa"/>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p>
        </w:tc>
        <w:tc>
          <w:tcPr>
            <w:tcW w:w="975" w:type="dxa"/>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vertAlign w:val="baseline"/>
                <w:lang w:val="en-US" w:eastAsia="zh-CN"/>
              </w:rPr>
            </w:pPr>
          </w:p>
        </w:tc>
        <w:tc>
          <w:tcPr>
            <w:tcW w:w="1478" w:type="dxa"/>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94</w:t>
            </w:r>
          </w:p>
        </w:tc>
      </w:tr>
    </w:tbl>
    <w:p>
      <w:pPr>
        <w:pStyle w:val="19"/>
        <w:ind w:left="0" w:leftChars="0" w:firstLine="0" w:firstLineChars="0"/>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outlineLvl w:val="1"/>
        <w:rPr>
          <w:rFonts w:hint="eastAsia" w:ascii="宋体" w:hAnsi="宋体" w:eastAsia="宋体" w:cs="宋体"/>
          <w:b/>
          <w:sz w:val="36"/>
          <w:szCs w:val="36"/>
          <w:lang w:val="en-US" w:eastAsia="zh-CN"/>
        </w:rPr>
      </w:pPr>
      <w:bookmarkStart w:id="100" w:name="_Toc7888"/>
      <w:bookmarkStart w:id="101" w:name="_Toc6624"/>
      <w:bookmarkStart w:id="102" w:name="_Toc15396618"/>
      <w:r>
        <w:rPr>
          <w:rFonts w:hint="eastAsia" w:ascii="宋体" w:hAnsi="宋体" w:eastAsia="宋体" w:cs="宋体"/>
          <w:b/>
          <w:sz w:val="36"/>
          <w:szCs w:val="36"/>
          <w:lang w:val="en-US" w:eastAsia="zh-CN"/>
        </w:rPr>
        <w:t>2020年《新生代》杂志编辑出版项目</w:t>
      </w:r>
      <w:bookmarkEnd w:id="100"/>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outlineLvl w:val="1"/>
        <w:rPr>
          <w:rFonts w:hint="eastAsia" w:ascii="仿宋" w:hAnsi="仿宋" w:eastAsia="仿宋" w:cs="仿宋"/>
          <w:b/>
          <w:bCs/>
          <w:sz w:val="44"/>
          <w:szCs w:val="44"/>
        </w:rPr>
      </w:pPr>
      <w:bookmarkStart w:id="103" w:name="_Toc14741"/>
      <w:r>
        <w:rPr>
          <w:rFonts w:hint="eastAsia" w:ascii="宋体" w:hAnsi="宋体" w:eastAsia="宋体" w:cs="宋体"/>
          <w:b/>
          <w:bCs/>
          <w:sz w:val="36"/>
          <w:szCs w:val="36"/>
          <w:lang w:val="en-US" w:eastAsia="zh-CN"/>
        </w:rPr>
        <w:t>支出绩效自评报告</w:t>
      </w:r>
      <w:bookmarkEnd w:id="101"/>
      <w:bookmarkEnd w:id="103"/>
    </w:p>
    <w:p>
      <w:pPr>
        <w:keepNext w:val="0"/>
        <w:keepLines w:val="0"/>
        <w:pageBreakBefore w:val="0"/>
        <w:widowControl w:val="0"/>
        <w:kinsoku/>
        <w:wordWrap/>
        <w:overflowPunct/>
        <w:topLinePunct w:val="0"/>
        <w:autoSpaceDE/>
        <w:autoSpaceDN/>
        <w:bidi w:val="0"/>
        <w:spacing w:line="600" w:lineRule="exact"/>
        <w:ind w:firstLine="640"/>
        <w:jc w:val="center"/>
        <w:textAlignment w:val="auto"/>
        <w:rPr>
          <w:rFonts w:ascii="宋体" w:hAnsi="宋体" w:eastAsia="宋体" w:cs="Times New Roman"/>
          <w:color w:val="auto"/>
          <w:kern w:val="2"/>
          <w:sz w:val="32"/>
          <w:szCs w:val="32"/>
          <w:lang w:val="zh-CN" w:eastAsia="zh-CN" w:bidi="ar-SA"/>
        </w:rPr>
      </w:pP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color w:val="auto"/>
          <w:sz w:val="32"/>
          <w:szCs w:val="32"/>
          <w:lang w:val="zh-CN"/>
        </w:rPr>
      </w:pPr>
      <w:r>
        <w:rPr>
          <w:rFonts w:hint="eastAsia" w:ascii="黑体" w:hAnsi="宋体" w:eastAsia="黑体"/>
          <w:color w:val="auto"/>
          <w:sz w:val="32"/>
          <w:szCs w:val="32"/>
        </w:rPr>
        <w:t>一、</w:t>
      </w:r>
      <w:r>
        <w:rPr>
          <w:rFonts w:hint="eastAsia" w:ascii="黑体" w:hAnsi="宋体" w:eastAsia="黑体"/>
          <w:color w:val="auto"/>
          <w:sz w:val="32"/>
          <w:szCs w:val="32"/>
          <w:lang w:val="zh-CN"/>
        </w:rPr>
        <w:t>项目概况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lang w:val="zh-CN"/>
        </w:rPr>
        <w:t>《</w:t>
      </w:r>
      <w:r>
        <w:rPr>
          <w:rFonts w:hint="eastAsia" w:ascii="仿宋_GB2312" w:hAnsi="宋体" w:eastAsia="仿宋_GB2312"/>
          <w:color w:val="auto"/>
          <w:sz w:val="32"/>
          <w:szCs w:val="32"/>
          <w:lang w:val="en-US" w:eastAsia="zh-CN"/>
        </w:rPr>
        <w:t>新生代</w:t>
      </w:r>
      <w:r>
        <w:rPr>
          <w:rFonts w:hint="eastAsia" w:ascii="仿宋_GB2312" w:hAnsi="宋体" w:eastAsia="仿宋_GB2312"/>
          <w:color w:val="auto"/>
          <w:sz w:val="32"/>
          <w:szCs w:val="32"/>
          <w:lang w:val="zh-CN"/>
        </w:rPr>
        <w:t>》</w:t>
      </w:r>
      <w:r>
        <w:rPr>
          <w:rFonts w:hint="eastAsia" w:ascii="仿宋_GB2312" w:hAnsi="宋体" w:eastAsia="仿宋_GB2312"/>
          <w:color w:val="auto"/>
          <w:sz w:val="32"/>
          <w:szCs w:val="32"/>
          <w:lang w:val="en-US" w:eastAsia="zh-CN"/>
        </w:rPr>
        <w:t>杂志【中国标准连续出版物号CN51-1648/C ISSN1672-9293，分类号：C3（社会科学研究方法），双月刊，全国公开发行】是由共青团四川省委主管主办、四川省团校《新生代》编辑部编辑出版的青少年研究学术期刊。坚持正确的舆论导向，以体现时代发展潮流，围绕党的中心工作，做青年的良师益友，服务青年服务社会是《新生代》期刊的办刊宗旨。2020年，《新生代》全年出版杂志6期，社会效益评价考核为“良好”，较好地完成了全年的出版任务。</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仿宋_GB2312" w:hAnsi="宋体" w:eastAsia="仿宋_GB2312"/>
          <w:color w:val="auto"/>
          <w:sz w:val="32"/>
          <w:szCs w:val="32"/>
          <w:lang w:val="en-US" w:eastAsia="zh-CN"/>
        </w:rPr>
      </w:pPr>
      <w:r>
        <w:rPr>
          <w:rFonts w:hint="eastAsia" w:ascii="楷体_GB2312" w:hAnsi="宋体" w:eastAsia="楷体_GB2312"/>
          <w:b/>
          <w:color w:val="auto"/>
          <w:sz w:val="32"/>
          <w:szCs w:val="32"/>
          <w:lang w:val="zh-CN"/>
        </w:rPr>
        <w:t>（一）项目资金申报及批复情况。</w:t>
      </w:r>
      <w:r>
        <w:rPr>
          <w:rFonts w:hint="eastAsia" w:ascii="仿宋_GB2312" w:hAnsi="宋体" w:eastAsia="仿宋_GB2312"/>
          <w:color w:val="auto"/>
          <w:sz w:val="32"/>
          <w:szCs w:val="32"/>
          <w:lang w:val="zh-CN"/>
        </w:rPr>
        <w:t>《</w:t>
      </w:r>
      <w:r>
        <w:rPr>
          <w:rFonts w:hint="eastAsia" w:ascii="仿宋_GB2312" w:hAnsi="宋体" w:eastAsia="仿宋_GB2312"/>
          <w:color w:val="auto"/>
          <w:sz w:val="32"/>
          <w:szCs w:val="32"/>
          <w:lang w:val="en-US" w:eastAsia="zh-CN"/>
        </w:rPr>
        <w:t>新生代</w:t>
      </w:r>
      <w:r>
        <w:rPr>
          <w:rFonts w:hint="eastAsia" w:ascii="仿宋_GB2312" w:hAnsi="宋体" w:eastAsia="仿宋_GB2312"/>
          <w:color w:val="auto"/>
          <w:sz w:val="32"/>
          <w:szCs w:val="32"/>
          <w:lang w:val="zh-CN"/>
        </w:rPr>
        <w:t>》</w:t>
      </w:r>
      <w:r>
        <w:rPr>
          <w:rFonts w:hint="eastAsia" w:ascii="仿宋_GB2312" w:hAnsi="宋体" w:eastAsia="仿宋_GB2312"/>
          <w:color w:val="auto"/>
          <w:sz w:val="32"/>
          <w:szCs w:val="32"/>
          <w:lang w:val="en-US" w:eastAsia="zh-CN"/>
        </w:rPr>
        <w:t>杂志编辑出版</w:t>
      </w:r>
      <w:r>
        <w:rPr>
          <w:rFonts w:hint="eastAsia" w:ascii="仿宋_GB2312" w:hAnsi="宋体" w:eastAsia="仿宋_GB2312"/>
          <w:color w:val="auto"/>
          <w:sz w:val="32"/>
          <w:szCs w:val="32"/>
          <w:lang w:val="zh-CN"/>
        </w:rPr>
        <w:t>项目</w:t>
      </w:r>
      <w:r>
        <w:rPr>
          <w:rFonts w:hint="eastAsia" w:ascii="仿宋_GB2312" w:hAnsi="宋体" w:eastAsia="仿宋_GB2312"/>
          <w:color w:val="auto"/>
          <w:sz w:val="32"/>
          <w:szCs w:val="32"/>
          <w:lang w:val="en-US" w:eastAsia="zh-CN"/>
        </w:rPr>
        <w:t>2020年度预算为20万元，</w:t>
      </w:r>
      <w:r>
        <w:rPr>
          <w:rFonts w:hint="eastAsia" w:ascii="仿宋_GB2312" w:hAnsi="宋体" w:eastAsia="仿宋_GB2312"/>
          <w:color w:val="auto"/>
          <w:sz w:val="32"/>
          <w:szCs w:val="32"/>
          <w:lang w:val="zh-CN"/>
        </w:rPr>
        <w:t>资金申报、批复符合资金管理办法等相关规定。</w:t>
      </w:r>
      <w:r>
        <w:rPr>
          <w:rFonts w:hint="eastAsia" w:ascii="仿宋_GB2312" w:hAnsi="宋体" w:eastAsia="仿宋_GB2312"/>
          <w:color w:val="auto"/>
          <w:sz w:val="32"/>
          <w:szCs w:val="32"/>
          <w:lang w:val="en-US" w:eastAsia="zh-CN"/>
        </w:rPr>
        <w:t>预算测算标准及测算过程为：出版1期《新生代》杂志，其中出版编印相关费用为2.5万元，稿费支出每期0.5万元，其他商品和服务支出及劳务费约为0.3334万元，全年共出版6期杂志。《新生代》杂志编辑出版项目2020年全年支出照排制作费、印刷费、稿费、邮寄费以及其他商品和服务支出共计20万元。</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仿宋_GB2312" w:hAnsi="宋体" w:eastAsia="楷体_GB2312"/>
          <w:color w:val="auto"/>
          <w:sz w:val="32"/>
          <w:szCs w:val="32"/>
          <w:lang w:val="en-US" w:eastAsia="zh-CN"/>
        </w:rPr>
      </w:pPr>
      <w:r>
        <w:rPr>
          <w:rFonts w:hint="eastAsia" w:ascii="楷体_GB2312" w:hAnsi="宋体" w:eastAsia="楷体_GB2312"/>
          <w:b/>
          <w:color w:val="auto"/>
          <w:sz w:val="32"/>
          <w:szCs w:val="32"/>
          <w:lang w:val="zh-CN"/>
        </w:rPr>
        <w:t>（二）项目绩效目标。</w:t>
      </w:r>
      <w:r>
        <w:rPr>
          <w:rFonts w:hint="eastAsia" w:ascii="仿宋_GB2312" w:hAnsi="宋体" w:eastAsia="仿宋_GB2312"/>
          <w:color w:val="auto"/>
          <w:sz w:val="32"/>
          <w:szCs w:val="32"/>
          <w:lang w:val="en-US" w:eastAsia="zh-CN"/>
        </w:rPr>
        <w:t>按时保质保量完成《新生代》杂志全年6期出版任务，每期出版1000册，全年出版6000册期刊，项目按期完成率100%；在期刊内容导向、出版管理、出版质量、规模与效果、党的建设与人才培养等方面，达到《中共中央宣传部关于印发&lt;报刊出版单位社会效益评价考核实行办法&gt;的通知》（中宣部发【2019】22号）和《中共四川省委宣传部办公室关于开展2020年度期刊社会效益评价考核工作的通知》（川宣办【2021】8号）的相关要求。</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olor w:val="auto"/>
          <w:sz w:val="32"/>
          <w:szCs w:val="32"/>
          <w:lang w:val="zh-CN"/>
        </w:rPr>
      </w:pPr>
      <w:r>
        <w:rPr>
          <w:rFonts w:hint="eastAsia" w:ascii="楷体_GB2312" w:hAnsi="宋体" w:eastAsia="楷体_GB2312"/>
          <w:b/>
          <w:color w:val="auto"/>
          <w:sz w:val="32"/>
          <w:szCs w:val="32"/>
          <w:lang w:val="zh-CN"/>
        </w:rPr>
        <w:t>（三）项目资金申报相符性。</w:t>
      </w:r>
      <w:r>
        <w:rPr>
          <w:rFonts w:hint="eastAsia" w:ascii="仿宋_GB2312" w:hAnsi="宋体" w:eastAsia="仿宋_GB2312"/>
          <w:color w:val="auto"/>
          <w:sz w:val="32"/>
          <w:szCs w:val="32"/>
          <w:lang w:val="zh-CN"/>
        </w:rPr>
        <w:t>《新生代》杂志编辑出版项目申报内容与具体实施内容相符、申报目标合理可行，</w:t>
      </w:r>
      <w:r>
        <w:rPr>
          <w:rFonts w:hint="eastAsia" w:ascii="仿宋_GB2312" w:hAnsi="宋体" w:eastAsia="仿宋_GB2312"/>
          <w:color w:val="auto"/>
          <w:sz w:val="32"/>
          <w:szCs w:val="32"/>
          <w:lang w:val="en-US" w:eastAsia="zh-CN"/>
        </w:rPr>
        <w:t>项目经费做到了专款专用</w:t>
      </w:r>
      <w:r>
        <w:rPr>
          <w:rFonts w:hint="eastAsia" w:ascii="仿宋_GB2312" w:hAnsi="宋体" w:eastAsia="仿宋_GB2312"/>
          <w:color w:val="auto"/>
          <w:sz w:val="32"/>
          <w:szCs w:val="32"/>
          <w:lang w:val="zh-CN"/>
        </w:rPr>
        <w:t>。</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color w:val="auto"/>
          <w:sz w:val="32"/>
          <w:szCs w:val="32"/>
        </w:rPr>
      </w:pPr>
      <w:r>
        <w:rPr>
          <w:rFonts w:hint="eastAsia" w:ascii="黑体" w:hAnsi="宋体" w:eastAsia="黑体"/>
          <w:color w:val="auto"/>
          <w:sz w:val="32"/>
          <w:szCs w:val="32"/>
        </w:rPr>
        <w:t>二、项目实施及管理情况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b/>
          <w:color w:val="auto"/>
          <w:sz w:val="32"/>
          <w:szCs w:val="32"/>
          <w:lang w:val="zh-CN"/>
        </w:rPr>
      </w:pPr>
      <w:r>
        <w:rPr>
          <w:rFonts w:hint="eastAsia" w:ascii="仿宋_GB2312" w:hAnsi="宋体" w:eastAsia="仿宋_GB2312"/>
          <w:color w:val="auto"/>
          <w:sz w:val="32"/>
          <w:szCs w:val="32"/>
          <w:lang w:val="zh-CN"/>
        </w:rPr>
        <w:tab/>
      </w:r>
      <w:r>
        <w:rPr>
          <w:rFonts w:hint="eastAsia" w:ascii="楷体_GB2312" w:hAnsi="宋体" w:eastAsia="楷体_GB2312"/>
          <w:b/>
          <w:color w:val="auto"/>
          <w:sz w:val="32"/>
          <w:szCs w:val="32"/>
          <w:lang w:val="zh-CN"/>
        </w:rPr>
        <w:t>（一）资金计划、到位及使用情况。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olor w:val="auto"/>
          <w:sz w:val="32"/>
          <w:szCs w:val="32"/>
          <w:lang w:val="en-US" w:eastAsia="zh-CN"/>
        </w:rPr>
      </w:pPr>
      <w:r>
        <w:rPr>
          <w:rFonts w:hint="eastAsia" w:ascii="楷体_GB2312" w:hAnsi="宋体" w:eastAsia="楷体_GB2312"/>
          <w:color w:val="auto"/>
          <w:sz w:val="32"/>
          <w:szCs w:val="32"/>
          <w:lang w:val="zh-CN"/>
        </w:rPr>
        <w:t>1．资金计划及到位。</w:t>
      </w:r>
      <w:r>
        <w:rPr>
          <w:rFonts w:hint="eastAsia" w:ascii="仿宋_GB2312" w:hAnsi="宋体" w:eastAsia="仿宋_GB2312"/>
          <w:color w:val="auto"/>
          <w:sz w:val="32"/>
          <w:szCs w:val="32"/>
          <w:lang w:val="zh-CN"/>
        </w:rPr>
        <w:t>《新生代》杂志编辑出版项目</w:t>
      </w:r>
      <w:r>
        <w:rPr>
          <w:rFonts w:hint="eastAsia" w:ascii="仿宋_GB2312" w:hAnsi="宋体" w:eastAsia="仿宋_GB2312"/>
          <w:color w:val="auto"/>
          <w:sz w:val="32"/>
          <w:szCs w:val="32"/>
          <w:lang w:val="en-US" w:eastAsia="zh-CN"/>
        </w:rPr>
        <w:t>资金到位及时，</w:t>
      </w:r>
      <w:r>
        <w:rPr>
          <w:rFonts w:hint="eastAsia" w:ascii="仿宋_GB2312" w:hAnsi="宋体" w:eastAsia="仿宋_GB2312"/>
          <w:color w:val="auto"/>
          <w:sz w:val="32"/>
          <w:szCs w:val="32"/>
          <w:lang w:val="zh-CN"/>
        </w:rPr>
        <w:t>到位率</w:t>
      </w:r>
      <w:r>
        <w:rPr>
          <w:rFonts w:hint="eastAsia" w:ascii="仿宋_GB2312" w:hAnsi="宋体" w:eastAsia="仿宋_GB2312"/>
          <w:color w:val="auto"/>
          <w:sz w:val="32"/>
          <w:szCs w:val="32"/>
          <w:lang w:val="en-US" w:eastAsia="zh-CN"/>
        </w:rPr>
        <w:t>为100%。</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olor w:val="auto"/>
          <w:sz w:val="32"/>
          <w:szCs w:val="32"/>
          <w:lang w:val="zh-CN"/>
        </w:rPr>
      </w:pPr>
      <w:r>
        <w:rPr>
          <w:rFonts w:hint="eastAsia" w:ascii="楷体_GB2312" w:hAnsi="宋体" w:eastAsia="楷体_GB2312"/>
          <w:color w:val="auto"/>
          <w:sz w:val="32"/>
          <w:szCs w:val="32"/>
          <w:lang w:val="zh-CN"/>
        </w:rPr>
        <w:t>2．资金使用。</w:t>
      </w:r>
      <w:r>
        <w:rPr>
          <w:rFonts w:hint="eastAsia" w:ascii="楷体_GB2312" w:hAnsi="宋体" w:eastAsia="楷体_GB2312"/>
          <w:color w:val="auto"/>
          <w:sz w:val="32"/>
          <w:szCs w:val="32"/>
          <w:lang w:val="en-US" w:eastAsia="zh-CN"/>
        </w:rPr>
        <w:t>截</w:t>
      </w:r>
      <w:r>
        <w:rPr>
          <w:rFonts w:hint="eastAsia" w:ascii="仿宋_GB2312" w:hAnsi="宋体" w:eastAsia="仿宋_GB2312"/>
          <w:color w:val="auto"/>
          <w:sz w:val="32"/>
          <w:szCs w:val="32"/>
          <w:lang w:val="en-US" w:eastAsia="zh-CN"/>
        </w:rPr>
        <w:t>至评价时点（2021年8月）《新生代》杂志编辑出版项目2020年全年支出照排制作费、印刷费、稿费、邮寄费以及其他商品和服务支出共计20万元。</w:t>
      </w:r>
      <w:r>
        <w:rPr>
          <w:rFonts w:hint="eastAsia" w:ascii="仿宋_GB2312" w:hAnsi="宋体" w:eastAsia="仿宋_GB2312"/>
          <w:color w:val="auto"/>
          <w:sz w:val="32"/>
          <w:szCs w:val="32"/>
          <w:lang w:val="zh-CN"/>
        </w:rPr>
        <w:t>支付依据合规合法，资金支付与预算相符。</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楷体_GB2312" w:hAnsi="宋体" w:eastAsia="楷体_GB2312"/>
          <w:b/>
          <w:color w:val="auto"/>
          <w:sz w:val="32"/>
          <w:szCs w:val="32"/>
          <w:lang w:val="zh-CN"/>
        </w:rPr>
      </w:pPr>
      <w:r>
        <w:rPr>
          <w:rFonts w:hint="eastAsia" w:ascii="楷体_GB2312" w:hAnsi="宋体" w:eastAsia="楷体_GB2312"/>
          <w:b/>
          <w:color w:val="auto"/>
          <w:sz w:val="32"/>
          <w:szCs w:val="32"/>
          <w:lang w:val="zh-CN"/>
        </w:rPr>
        <w:t>（二）项目财务管理</w:t>
      </w:r>
      <w:r>
        <w:rPr>
          <w:rFonts w:hint="eastAsia" w:ascii="楷体_GB2312" w:hAnsi="宋体" w:eastAsia="楷体_GB2312"/>
          <w:b/>
          <w:color w:val="auto"/>
          <w:sz w:val="32"/>
          <w:szCs w:val="32"/>
          <w:lang w:val="zh-CN" w:eastAsia="zh-CN"/>
        </w:rPr>
        <w:t>情况</w:t>
      </w:r>
      <w:r>
        <w:rPr>
          <w:rFonts w:hint="eastAsia" w:ascii="楷体_GB2312" w:hAnsi="宋体" w:eastAsia="楷体_GB2312"/>
          <w:b/>
          <w:color w:val="auto"/>
          <w:sz w:val="32"/>
          <w:szCs w:val="32"/>
          <w:lang w:val="zh-CN"/>
        </w:rPr>
        <w:t>。</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olor w:val="auto"/>
          <w:sz w:val="32"/>
          <w:szCs w:val="32"/>
          <w:lang w:val="zh-CN"/>
        </w:rPr>
      </w:pPr>
      <w:r>
        <w:rPr>
          <w:rFonts w:hint="eastAsia" w:ascii="仿宋_GB2312" w:hAnsi="宋体" w:eastAsia="仿宋_GB2312"/>
          <w:color w:val="auto"/>
          <w:sz w:val="32"/>
          <w:szCs w:val="32"/>
          <w:lang w:val="zh-CN"/>
        </w:rPr>
        <w:t>《新生代》杂志编辑出版项目</w:t>
      </w:r>
      <w:r>
        <w:rPr>
          <w:rFonts w:hint="eastAsia" w:ascii="仿宋_GB2312" w:hAnsi="宋体" w:eastAsia="仿宋_GB2312"/>
          <w:color w:val="auto"/>
          <w:sz w:val="32"/>
          <w:szCs w:val="32"/>
          <w:lang w:val="en-US" w:eastAsia="zh-CN"/>
        </w:rPr>
        <w:t>财务管理纳入四川省团校财务管理，在执行过程中做到严格管理、严格要求，细处着眼、细节入手，扎实操作、务求实效。学校成立“新生代”项目工作领导小组（《新生代》编委会），团校党委书记、常务副校长兼任主编负责全面工作，分管副校长严格监督管理；二是成立内部控制工作组，落实</w:t>
      </w:r>
      <w:r>
        <w:rPr>
          <w:rFonts w:hint="eastAsia" w:ascii="仿宋_GB2312" w:hAnsi="宋体" w:eastAsia="仿宋_GB2312"/>
          <w:color w:val="auto"/>
          <w:sz w:val="32"/>
          <w:szCs w:val="32"/>
          <w:lang w:val="zh-CN"/>
        </w:rPr>
        <w:t>财务管理制度建设、机构设置、会计核算及账务处理等相关情况。对照项目资金管理办法，《新生代》杂志编辑出版项目严格执行</w:t>
      </w:r>
      <w:r>
        <w:rPr>
          <w:rFonts w:hint="eastAsia" w:ascii="仿宋_GB2312" w:hAnsi="宋体" w:eastAsia="仿宋_GB2312"/>
          <w:color w:val="auto"/>
          <w:sz w:val="32"/>
          <w:szCs w:val="32"/>
          <w:lang w:val="en-US" w:eastAsia="zh-CN"/>
        </w:rPr>
        <w:t>了</w:t>
      </w:r>
      <w:r>
        <w:rPr>
          <w:rFonts w:hint="eastAsia" w:ascii="仿宋_GB2312" w:hAnsi="宋体" w:eastAsia="仿宋_GB2312"/>
          <w:color w:val="auto"/>
          <w:sz w:val="32"/>
          <w:szCs w:val="32"/>
          <w:lang w:val="zh-CN"/>
        </w:rPr>
        <w:t>财务管理制度，财务处理及时，会计核算规范。</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（三）项目组织实施情况。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zh-CN"/>
        </w:rPr>
        <w:t>《新生代》杂志编辑出版项目</w:t>
      </w:r>
      <w:r>
        <w:rPr>
          <w:rFonts w:hint="eastAsia" w:ascii="仿宋_GB2312" w:hAnsi="宋体" w:eastAsia="仿宋_GB2312"/>
          <w:color w:val="auto"/>
          <w:sz w:val="32"/>
          <w:szCs w:val="32"/>
          <w:lang w:val="en-US" w:eastAsia="zh-CN"/>
        </w:rPr>
        <w:t>实行的是编委会领导下的编辑部负责制，学校党委书记、常务副校长兼任《新生代》主编，是</w:t>
      </w:r>
      <w:r>
        <w:rPr>
          <w:rFonts w:hint="eastAsia" w:ascii="仿宋_GB2312" w:hAnsi="宋体" w:eastAsia="仿宋_GB2312"/>
          <w:color w:val="auto"/>
          <w:sz w:val="32"/>
          <w:szCs w:val="32"/>
          <w:lang w:val="zh-CN"/>
        </w:rPr>
        <w:t>组织管理架构</w:t>
      </w:r>
      <w:r>
        <w:rPr>
          <w:rFonts w:hint="eastAsia" w:ascii="仿宋_GB2312" w:hAnsi="宋体" w:eastAsia="仿宋_GB2312"/>
          <w:color w:val="auto"/>
          <w:sz w:val="32"/>
          <w:szCs w:val="32"/>
          <w:lang w:val="en-US" w:eastAsia="zh-CN"/>
        </w:rPr>
        <w:t>第一责任人；执行主编兼编辑部主任负责</w:t>
      </w:r>
      <w:r>
        <w:rPr>
          <w:rFonts w:hint="eastAsia" w:ascii="仿宋_GB2312" w:hAnsi="宋体" w:eastAsia="仿宋_GB2312"/>
          <w:color w:val="auto"/>
          <w:sz w:val="32"/>
          <w:szCs w:val="32"/>
          <w:lang w:val="zh-CN"/>
        </w:rPr>
        <w:t>具体实施流程，</w:t>
      </w:r>
      <w:r>
        <w:rPr>
          <w:rFonts w:hint="eastAsia" w:ascii="仿宋_GB2312" w:hAnsi="宋体" w:eastAsia="仿宋_GB2312"/>
          <w:color w:val="auto"/>
          <w:sz w:val="32"/>
          <w:szCs w:val="32"/>
          <w:lang w:val="en-US" w:eastAsia="zh-CN"/>
        </w:rPr>
        <w:t>财务监督组监督《新生代》杂志编辑出版项目的整体财务情况，财务报销层层审核。项目主要支出——《新生代》照排制作费和印刷经费实行招投标和项目公示，经过3家比选，四川胜翔数码设计公司成为《新生代》期刊的照排制作单位，成都市金雅迪彩色印务公司成为《新生代》期刊的印刷单位。</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olor w:val="auto"/>
          <w:sz w:val="32"/>
          <w:szCs w:val="32"/>
          <w:lang w:val="zh-CN"/>
        </w:rPr>
      </w:pPr>
      <w:r>
        <w:rPr>
          <w:rFonts w:hint="eastAsia" w:ascii="黑体" w:hAnsi="宋体" w:eastAsia="黑体"/>
          <w:color w:val="auto"/>
          <w:sz w:val="32"/>
          <w:szCs w:val="32"/>
        </w:rPr>
        <w:t>三、项目绩效情况</w:t>
      </w:r>
      <w:r>
        <w:rPr>
          <w:rFonts w:hint="eastAsia" w:ascii="仿宋_GB2312" w:hAnsi="宋体" w:eastAsia="仿宋_GB2312"/>
          <w:color w:val="auto"/>
          <w:sz w:val="32"/>
          <w:szCs w:val="32"/>
          <w:lang w:val="zh-CN"/>
        </w:rPr>
        <w:tab/>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（一）项目完成情况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2020年《新生代》杂志编辑出版项目编辑出版工作圆满完成，出版6期期刊，刊发青少年学术论文论文79篇，任务完成量为100%，出版物编校质量符合相关要求，差错率在万分之二以内。经主管主办单位共青团四川省委，上级业务管理单位四川省委宣传部、四川省新闻出版局考评，《新生代》杂志社会效益考核得分总计82分，考核结果为“良好”。</w:t>
      </w:r>
    </w:p>
    <w:p>
      <w:pPr>
        <w:keepNext w:val="0"/>
        <w:keepLines w:val="0"/>
        <w:pageBreakBefore w:val="0"/>
        <w:numPr>
          <w:ilvl w:val="0"/>
          <w:numId w:val="7"/>
        </w:numPr>
        <w:kinsoku/>
        <w:wordWrap/>
        <w:overflowPunct/>
        <w:topLinePunct w:val="0"/>
        <w:autoSpaceDE/>
        <w:autoSpaceDN/>
        <w:bidi w:val="0"/>
        <w:adjustRightInd w:val="0"/>
        <w:snapToGrid w:val="0"/>
        <w:spacing w:line="600" w:lineRule="exact"/>
        <w:ind w:firstLine="720"/>
        <w:textAlignment w:val="auto"/>
        <w:rPr>
          <w:rFonts w:hint="eastAsia" w:ascii="楷体_GB2312" w:hAnsi="宋体" w:eastAsia="楷体_GB2312"/>
          <w:b/>
          <w:color w:val="auto"/>
          <w:sz w:val="32"/>
          <w:szCs w:val="32"/>
          <w:lang w:val="zh-CN"/>
        </w:rPr>
      </w:pPr>
      <w:r>
        <w:rPr>
          <w:rFonts w:hint="eastAsia" w:ascii="楷体_GB2312" w:hAnsi="宋体" w:eastAsia="楷体_GB2312"/>
          <w:b/>
          <w:color w:val="auto"/>
          <w:sz w:val="32"/>
          <w:szCs w:val="32"/>
          <w:lang w:val="zh-CN"/>
        </w:rPr>
        <w:t>项目效益情况</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青少年研究学术期刊《新生代》刊登的论文质量较高，对青少年的健康成长起到了很好的指导作用，受到从事共青团与青少年问题研究的专家学者、团干部和少先队辅导员的好评。</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zh-CN" w:eastAsia="zh-CN"/>
        </w:rPr>
        <w:t>《</w:t>
      </w:r>
      <w:r>
        <w:rPr>
          <w:rFonts w:hint="eastAsia" w:ascii="仿宋_GB2312" w:hAnsi="宋体" w:eastAsia="仿宋_GB2312"/>
          <w:color w:val="auto"/>
          <w:sz w:val="32"/>
          <w:szCs w:val="32"/>
          <w:lang w:val="en-US" w:eastAsia="zh-CN"/>
        </w:rPr>
        <w:t>新生代</w:t>
      </w:r>
      <w:r>
        <w:rPr>
          <w:rFonts w:hint="eastAsia" w:ascii="仿宋_GB2312" w:hAnsi="宋体" w:eastAsia="仿宋_GB2312"/>
          <w:color w:val="auto"/>
          <w:sz w:val="32"/>
          <w:szCs w:val="32"/>
          <w:lang w:val="zh-CN" w:eastAsia="zh-CN"/>
        </w:rPr>
        <w:t>》</w:t>
      </w:r>
      <w:r>
        <w:rPr>
          <w:rFonts w:hint="eastAsia" w:ascii="仿宋_GB2312" w:hAnsi="宋体" w:eastAsia="仿宋_GB2312"/>
          <w:color w:val="auto"/>
          <w:sz w:val="32"/>
          <w:szCs w:val="32"/>
          <w:lang w:val="en-US" w:eastAsia="zh-CN"/>
        </w:rPr>
        <w:t>杂志的编辑出版，顺应了共青团中央改革关于“加强共青团智库建设”的重要要求和《中央团校改革方案》关于“厚植团校学术支撑”的重要举措，加强了青少年宣传思想文化教育研究力量，夯实了科研阵地，为共青团改革凝聚了来自理论界的共识，为推进共青团和青少年事业蓬勃发展提供了强大的智力支持。</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b/>
          <w:color w:val="auto"/>
          <w:sz w:val="32"/>
          <w:szCs w:val="32"/>
          <w:lang w:val="zh-CN"/>
        </w:rPr>
      </w:pPr>
      <w:r>
        <w:rPr>
          <w:rFonts w:hint="eastAsia" w:ascii="仿宋_GB2312" w:hAnsi="宋体" w:eastAsia="仿宋_GB2312"/>
          <w:color w:val="auto"/>
          <w:sz w:val="32"/>
          <w:szCs w:val="32"/>
          <w:lang w:val="en-US" w:eastAsia="zh-CN"/>
        </w:rPr>
        <w:t>《新生代》杂志编辑出版项目坚持以习近平新时代中国特色社会主义思想为统揽，社会效益显著，以“关注党的指示、展示团的风貌、研究团青工作、聚焦主责主业”为目标，切实发挥了巩固阵地、展示成果、理论交流的平台作用，团结引领广大青少年积极投身治蜀兴川实践，青春心向党，建功新时代。</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color w:val="auto"/>
          <w:sz w:val="32"/>
          <w:szCs w:val="32"/>
        </w:rPr>
      </w:pPr>
      <w:r>
        <w:rPr>
          <w:rFonts w:hint="eastAsia" w:ascii="黑体" w:hAnsi="宋体" w:eastAsia="黑体"/>
          <w:color w:val="auto"/>
          <w:sz w:val="32"/>
          <w:szCs w:val="32"/>
        </w:rPr>
        <w:t>四、问题及建议</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楷体_GB2312" w:hAnsi="宋体" w:eastAsia="楷体_GB2312"/>
          <w:b/>
          <w:color w:val="auto"/>
          <w:sz w:val="32"/>
          <w:szCs w:val="32"/>
          <w:lang w:val="zh-CN"/>
        </w:rPr>
      </w:pPr>
      <w:r>
        <w:rPr>
          <w:rFonts w:hint="eastAsia" w:ascii="楷体_GB2312" w:hAnsi="宋体" w:eastAsia="楷体_GB2312"/>
          <w:b/>
          <w:color w:val="auto"/>
          <w:sz w:val="32"/>
          <w:szCs w:val="32"/>
          <w:lang w:val="zh-CN"/>
        </w:rPr>
        <w:t>（一）存在的问题。</w:t>
      </w:r>
    </w:p>
    <w:p>
      <w:pPr>
        <w:pStyle w:val="7"/>
        <w:rPr>
          <w:rFonts w:hint="default" w:ascii="仿宋_GB2312" w:hAnsi="宋体" w:eastAsia="仿宋_GB2312" w:cs="Times New Roman"/>
          <w:color w:val="auto"/>
          <w:kern w:val="2"/>
          <w:sz w:val="32"/>
          <w:szCs w:val="32"/>
          <w:lang w:val="en-US" w:eastAsia="zh-CN" w:bidi="ar-SA"/>
        </w:rPr>
      </w:pPr>
      <w:r>
        <w:rPr>
          <w:rFonts w:hint="eastAsia" w:ascii="楷体_GB2312" w:hAnsi="宋体" w:eastAsia="楷体_GB2312"/>
          <w:b/>
          <w:color w:val="auto"/>
          <w:sz w:val="32"/>
          <w:szCs w:val="32"/>
          <w:lang w:val="en-US" w:eastAsia="zh-CN"/>
        </w:rPr>
        <w:t xml:space="preserve">   </w:t>
      </w:r>
      <w:r>
        <w:rPr>
          <w:rFonts w:hint="eastAsia" w:ascii="仿宋_GB2312" w:hAnsi="宋体" w:eastAsia="仿宋_GB2312" w:cs="Times New Roman"/>
          <w:color w:val="auto"/>
          <w:kern w:val="2"/>
          <w:sz w:val="32"/>
          <w:szCs w:val="32"/>
          <w:lang w:val="en-US" w:eastAsia="zh-CN" w:bidi="ar-SA"/>
        </w:rPr>
        <w:t xml:space="preserve"> 《新生代》期刊为全国公开发行的连续性出版物</w:t>
      </w:r>
      <w:r>
        <w:rPr>
          <w:rFonts w:hint="eastAsia" w:hAnsi="宋体" w:cs="Times New Roman"/>
          <w:color w:val="auto"/>
          <w:kern w:val="2"/>
          <w:sz w:val="32"/>
          <w:szCs w:val="32"/>
          <w:lang w:val="en-US" w:eastAsia="zh-CN" w:bidi="ar-SA"/>
        </w:rPr>
        <w:t>（双月刊 全年6期）</w:t>
      </w:r>
      <w:r>
        <w:rPr>
          <w:rFonts w:hint="eastAsia" w:ascii="仿宋_GB2312" w:hAnsi="宋体" w:eastAsia="仿宋_GB2312" w:cs="Times New Roman"/>
          <w:color w:val="auto"/>
          <w:kern w:val="2"/>
          <w:sz w:val="32"/>
          <w:szCs w:val="32"/>
          <w:lang w:val="en-US" w:eastAsia="zh-CN" w:bidi="ar-SA"/>
        </w:rPr>
        <w:t>，</w:t>
      </w:r>
      <w:r>
        <w:rPr>
          <w:rFonts w:hint="eastAsia" w:hAnsi="宋体" w:cs="Times New Roman"/>
          <w:color w:val="auto"/>
          <w:kern w:val="2"/>
          <w:sz w:val="32"/>
          <w:szCs w:val="32"/>
          <w:lang w:val="en-US" w:eastAsia="zh-CN" w:bidi="ar-SA"/>
        </w:rPr>
        <w:t>2020年度以前每年财政预算为25万元，2020年度起，财政预算紧缩，该项目预算缩减为20万元，经费较往年更为紧张。</w:t>
      </w:r>
    </w:p>
    <w:p>
      <w:pPr>
        <w:numPr>
          <w:ilvl w:val="0"/>
          <w:numId w:val="8"/>
        </w:numPr>
        <w:adjustRightInd w:val="0"/>
        <w:snapToGrid w:val="0"/>
        <w:spacing w:line="600" w:lineRule="exact"/>
        <w:ind w:firstLine="643" w:firstLineChars="200"/>
        <w:rPr>
          <w:rFonts w:hint="eastAsia" w:ascii="楷体_GB2312" w:hAnsi="宋体" w:eastAsia="楷体_GB2312"/>
          <w:b/>
          <w:color w:val="auto"/>
          <w:sz w:val="32"/>
          <w:szCs w:val="32"/>
          <w:lang w:val="zh-CN"/>
        </w:rPr>
      </w:pPr>
      <w:r>
        <w:rPr>
          <w:rFonts w:hint="eastAsia" w:ascii="楷体_GB2312" w:hAnsi="宋体" w:eastAsia="楷体_GB2312"/>
          <w:b/>
          <w:color w:val="auto"/>
          <w:sz w:val="32"/>
          <w:szCs w:val="32"/>
          <w:lang w:val="zh-CN"/>
        </w:rPr>
        <w:t>相关建议。</w:t>
      </w:r>
    </w:p>
    <w:p>
      <w:pPr>
        <w:ind w:firstLine="640" w:firstLineChars="200"/>
        <w:rPr>
          <w:rFonts w:hint="default" w:eastAsia="宋体"/>
          <w:lang w:val="en-US" w:eastAsia="zh-CN"/>
        </w:rPr>
      </w:pPr>
      <w:r>
        <w:rPr>
          <w:rFonts w:hint="eastAsia" w:ascii="仿宋_GB2312" w:hAnsi="宋体" w:eastAsia="仿宋_GB2312"/>
          <w:color w:val="auto"/>
          <w:sz w:val="32"/>
          <w:szCs w:val="32"/>
          <w:lang w:val="en-US" w:eastAsia="zh-CN"/>
        </w:rPr>
        <w:t>随着《新生代》期刊的美誉度、需求量增加，编辑部计划提高编印数量（从往年的每期1000册增加至每期2000册），同时加大宣传推广力度。因此相关成本费用会相应增加。建议财政增加《新生代》杂志编辑出版项目的预算费用。</w:t>
      </w:r>
    </w:p>
    <w:p>
      <w:pPr>
        <w:pStyle w:val="7"/>
        <w:rPr>
          <w:sz w:val="24"/>
          <w:szCs w:val="24"/>
        </w:rPr>
      </w:pPr>
    </w:p>
    <w:p>
      <w:pPr>
        <w:spacing w:line="600" w:lineRule="exact"/>
        <w:jc w:val="center"/>
        <w:outlineLvl w:val="9"/>
        <w:rPr>
          <w:rFonts w:hint="eastAsia" w:ascii="黑体" w:hAnsi="黑体" w:eastAsia="黑体"/>
          <w:color w:val="000000"/>
          <w:sz w:val="44"/>
          <w:szCs w:val="44"/>
        </w:rPr>
      </w:pPr>
    </w:p>
    <w:p>
      <w:pPr>
        <w:spacing w:line="600" w:lineRule="exact"/>
        <w:jc w:val="center"/>
        <w:outlineLvl w:val="9"/>
        <w:rPr>
          <w:rFonts w:hint="eastAsia" w:ascii="黑体" w:hAnsi="黑体" w:eastAsia="黑体"/>
          <w:color w:val="000000"/>
          <w:sz w:val="44"/>
          <w:szCs w:val="44"/>
        </w:rPr>
      </w:pPr>
    </w:p>
    <w:p>
      <w:pPr>
        <w:spacing w:line="600" w:lineRule="exact"/>
        <w:jc w:val="center"/>
        <w:outlineLvl w:val="9"/>
        <w:rPr>
          <w:rFonts w:hint="eastAsia" w:ascii="黑体" w:hAnsi="黑体" w:eastAsia="黑体"/>
          <w:color w:val="000000"/>
          <w:sz w:val="44"/>
          <w:szCs w:val="44"/>
        </w:rPr>
      </w:pPr>
    </w:p>
    <w:p>
      <w:pPr>
        <w:pStyle w:val="7"/>
        <w:rPr>
          <w:rFonts w:hint="eastAsia" w:ascii="黑体" w:hAnsi="黑体" w:eastAsia="黑体"/>
          <w:color w:val="000000"/>
          <w:sz w:val="44"/>
          <w:szCs w:val="44"/>
        </w:rPr>
      </w:pPr>
    </w:p>
    <w:p>
      <w:pPr>
        <w:pStyle w:val="7"/>
        <w:rPr>
          <w:rFonts w:hint="eastAsia" w:ascii="黑体" w:hAnsi="黑体" w:eastAsia="黑体"/>
          <w:color w:val="000000"/>
          <w:sz w:val="44"/>
          <w:szCs w:val="44"/>
        </w:rPr>
      </w:pPr>
    </w:p>
    <w:p>
      <w:pPr>
        <w:pStyle w:val="7"/>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仿宋" w:hAnsi="仿宋" w:eastAsia="仿宋"/>
          <w:b w:val="0"/>
          <w:color w:val="000000"/>
        </w:rPr>
      </w:pPr>
      <w:bookmarkStart w:id="104" w:name="_Toc5002"/>
      <w:r>
        <w:rPr>
          <w:rFonts w:hint="eastAsia" w:ascii="黑体" w:hAnsi="黑体" w:eastAsia="黑体"/>
          <w:color w:val="000000"/>
          <w:sz w:val="44"/>
          <w:szCs w:val="44"/>
        </w:rPr>
        <w:t>第</w:t>
      </w:r>
      <w:r>
        <w:rPr>
          <w:rStyle w:val="28"/>
          <w:rFonts w:hint="eastAsia" w:ascii="黑体" w:hAnsi="黑体" w:eastAsia="黑体"/>
          <w:b w:val="0"/>
        </w:rPr>
        <w:t>五部分 附表</w:t>
      </w:r>
      <w:bookmarkEnd w:id="84"/>
      <w:bookmarkEnd w:id="102"/>
      <w:bookmarkEnd w:id="104"/>
      <w:bookmarkStart w:id="105" w:name="_Toc15396619"/>
    </w:p>
    <w:p>
      <w:pPr>
        <w:pStyle w:val="5"/>
        <w:rPr>
          <w:rFonts w:ascii="仿宋" w:hAnsi="仿宋" w:eastAsia="仿宋"/>
          <w:color w:val="000000"/>
        </w:rPr>
      </w:pPr>
      <w:bookmarkStart w:id="106" w:name="_Toc9170"/>
      <w:r>
        <w:rPr>
          <w:rFonts w:hint="eastAsia" w:ascii="仿宋" w:hAnsi="仿宋" w:eastAsia="仿宋"/>
          <w:b w:val="0"/>
          <w:color w:val="000000"/>
        </w:rPr>
        <w:t>一、收</w:t>
      </w:r>
      <w:r>
        <w:rPr>
          <w:rStyle w:val="29"/>
          <w:rFonts w:hint="eastAsia" w:ascii="仿宋" w:hAnsi="仿宋" w:eastAsia="仿宋"/>
          <w:b w:val="0"/>
          <w:bCs w:val="0"/>
        </w:rPr>
        <w:t>入支出决算总表</w:t>
      </w:r>
      <w:bookmarkEnd w:id="105"/>
      <w:bookmarkEnd w:id="106"/>
    </w:p>
    <w:p>
      <w:pPr>
        <w:pStyle w:val="5"/>
        <w:rPr>
          <w:rFonts w:ascii="仿宋" w:hAnsi="仿宋" w:eastAsia="仿宋"/>
          <w:color w:val="000000"/>
        </w:rPr>
      </w:pPr>
      <w:bookmarkStart w:id="107" w:name="_Toc432"/>
      <w:bookmarkStart w:id="108" w:name="_Toc15396620"/>
      <w:r>
        <w:rPr>
          <w:rFonts w:hint="eastAsia" w:ascii="仿宋" w:hAnsi="仿宋" w:eastAsia="仿宋"/>
          <w:b w:val="0"/>
          <w:color w:val="000000"/>
        </w:rPr>
        <w:t>二、收</w:t>
      </w:r>
      <w:r>
        <w:rPr>
          <w:rStyle w:val="29"/>
          <w:rFonts w:hint="eastAsia" w:ascii="仿宋" w:hAnsi="仿宋" w:eastAsia="仿宋"/>
          <w:b w:val="0"/>
          <w:bCs w:val="0"/>
        </w:rPr>
        <w:t>入决算表</w:t>
      </w:r>
      <w:bookmarkEnd w:id="107"/>
      <w:bookmarkEnd w:id="108"/>
    </w:p>
    <w:p>
      <w:pPr>
        <w:pStyle w:val="5"/>
        <w:rPr>
          <w:rFonts w:ascii="仿宋" w:hAnsi="仿宋" w:eastAsia="仿宋"/>
          <w:color w:val="000000"/>
        </w:rPr>
      </w:pPr>
      <w:bookmarkStart w:id="109" w:name="_Toc16483"/>
      <w:bookmarkStart w:id="110" w:name="_Toc15396621"/>
      <w:r>
        <w:rPr>
          <w:rStyle w:val="29"/>
          <w:rFonts w:hint="eastAsia" w:ascii="仿宋" w:hAnsi="仿宋" w:eastAsia="仿宋"/>
          <w:b w:val="0"/>
          <w:bCs w:val="0"/>
        </w:rPr>
        <w:t>三、</w:t>
      </w:r>
      <w:r>
        <w:rPr>
          <w:rFonts w:hint="eastAsia" w:ascii="仿宋" w:hAnsi="仿宋" w:eastAsia="仿宋"/>
          <w:b w:val="0"/>
          <w:color w:val="000000"/>
        </w:rPr>
        <w:t>支</w:t>
      </w:r>
      <w:r>
        <w:rPr>
          <w:rStyle w:val="29"/>
          <w:rFonts w:hint="eastAsia" w:ascii="仿宋" w:hAnsi="仿宋" w:eastAsia="仿宋"/>
          <w:b w:val="0"/>
          <w:bCs w:val="0"/>
        </w:rPr>
        <w:t>出决算表</w:t>
      </w:r>
      <w:bookmarkEnd w:id="109"/>
      <w:bookmarkEnd w:id="110"/>
    </w:p>
    <w:p>
      <w:pPr>
        <w:pStyle w:val="5"/>
        <w:rPr>
          <w:rFonts w:ascii="仿宋" w:hAnsi="仿宋" w:eastAsia="仿宋"/>
          <w:b w:val="0"/>
          <w:color w:val="000000"/>
        </w:rPr>
      </w:pPr>
      <w:bookmarkStart w:id="111" w:name="_Toc11795"/>
      <w:bookmarkStart w:id="112" w:name="_Toc15396622"/>
      <w:r>
        <w:rPr>
          <w:rStyle w:val="29"/>
          <w:rFonts w:hint="eastAsia" w:ascii="仿宋" w:hAnsi="仿宋" w:eastAsia="仿宋"/>
          <w:b w:val="0"/>
          <w:bCs w:val="0"/>
        </w:rPr>
        <w:t>四、</w:t>
      </w:r>
      <w:r>
        <w:rPr>
          <w:rFonts w:hint="eastAsia" w:ascii="仿宋" w:hAnsi="仿宋" w:eastAsia="仿宋"/>
          <w:b w:val="0"/>
          <w:color w:val="000000"/>
        </w:rPr>
        <w:t>财</w:t>
      </w:r>
      <w:r>
        <w:rPr>
          <w:rStyle w:val="29"/>
          <w:rFonts w:hint="eastAsia" w:ascii="仿宋" w:hAnsi="仿宋" w:eastAsia="仿宋"/>
          <w:b w:val="0"/>
          <w:bCs w:val="0"/>
        </w:rPr>
        <w:t>政拨款收入支出决算总表</w:t>
      </w:r>
      <w:bookmarkEnd w:id="111"/>
      <w:bookmarkEnd w:id="112"/>
    </w:p>
    <w:p>
      <w:pPr>
        <w:pStyle w:val="5"/>
        <w:rPr>
          <w:rStyle w:val="29"/>
          <w:rFonts w:ascii="仿宋" w:hAnsi="仿宋" w:eastAsia="仿宋"/>
          <w:b w:val="0"/>
          <w:bCs w:val="0"/>
        </w:rPr>
      </w:pPr>
      <w:bookmarkStart w:id="113" w:name="_Toc15396623"/>
      <w:bookmarkStart w:id="114" w:name="_Toc3991"/>
      <w:r>
        <w:rPr>
          <w:rStyle w:val="29"/>
          <w:rFonts w:hint="eastAsia" w:ascii="仿宋" w:hAnsi="仿宋" w:eastAsia="仿宋"/>
          <w:b w:val="0"/>
          <w:bCs w:val="0"/>
        </w:rPr>
        <w:t>五、</w:t>
      </w:r>
      <w:r>
        <w:rPr>
          <w:rFonts w:hint="eastAsia" w:ascii="仿宋" w:hAnsi="仿宋" w:eastAsia="仿宋"/>
          <w:b w:val="0"/>
          <w:color w:val="000000"/>
        </w:rPr>
        <w:t>财</w:t>
      </w:r>
      <w:r>
        <w:rPr>
          <w:rStyle w:val="29"/>
          <w:rFonts w:hint="eastAsia" w:ascii="仿宋" w:hAnsi="仿宋" w:eastAsia="仿宋"/>
          <w:b w:val="0"/>
          <w:bCs w:val="0"/>
        </w:rPr>
        <w:t>政拨款支出决算明细表</w:t>
      </w:r>
      <w:bookmarkEnd w:id="113"/>
      <w:bookmarkEnd w:id="114"/>
      <w:bookmarkStart w:id="115" w:name="_Toc15396624"/>
    </w:p>
    <w:p>
      <w:pPr>
        <w:pStyle w:val="5"/>
        <w:rPr>
          <w:rFonts w:ascii="仿宋" w:hAnsi="仿宋" w:eastAsia="仿宋"/>
          <w:color w:val="000000"/>
        </w:rPr>
      </w:pPr>
      <w:bookmarkStart w:id="116" w:name="_Toc13183"/>
      <w:r>
        <w:rPr>
          <w:rStyle w:val="29"/>
          <w:rFonts w:hint="eastAsia" w:ascii="仿宋" w:hAnsi="仿宋" w:eastAsia="仿宋"/>
          <w:b w:val="0"/>
          <w:bCs w:val="0"/>
        </w:rPr>
        <w:t>六、</w:t>
      </w:r>
      <w:r>
        <w:rPr>
          <w:rFonts w:hint="eastAsia" w:ascii="仿宋" w:hAnsi="仿宋" w:eastAsia="仿宋"/>
          <w:b w:val="0"/>
          <w:color w:val="000000"/>
        </w:rPr>
        <w:t>一</w:t>
      </w:r>
      <w:r>
        <w:rPr>
          <w:rStyle w:val="29"/>
          <w:rFonts w:hint="eastAsia" w:ascii="仿宋" w:hAnsi="仿宋" w:eastAsia="仿宋"/>
          <w:b w:val="0"/>
          <w:bCs w:val="0"/>
        </w:rPr>
        <w:t>般公共预算财政拨款支出决算表</w:t>
      </w:r>
      <w:bookmarkEnd w:id="115"/>
      <w:bookmarkEnd w:id="116"/>
    </w:p>
    <w:p>
      <w:pPr>
        <w:pStyle w:val="5"/>
        <w:rPr>
          <w:rFonts w:ascii="仿宋" w:hAnsi="仿宋" w:eastAsia="仿宋"/>
          <w:color w:val="000000"/>
        </w:rPr>
      </w:pPr>
      <w:bookmarkStart w:id="117" w:name="_Toc15396625"/>
      <w:bookmarkStart w:id="118" w:name="_Toc21983"/>
      <w:r>
        <w:rPr>
          <w:rStyle w:val="29"/>
          <w:rFonts w:hint="eastAsia" w:ascii="仿宋" w:hAnsi="仿宋" w:eastAsia="仿宋"/>
          <w:b w:val="0"/>
          <w:bCs w:val="0"/>
        </w:rPr>
        <w:t>七、</w:t>
      </w:r>
      <w:r>
        <w:rPr>
          <w:rFonts w:hint="eastAsia" w:ascii="仿宋" w:hAnsi="仿宋" w:eastAsia="仿宋"/>
          <w:b w:val="0"/>
          <w:color w:val="000000"/>
        </w:rPr>
        <w:t>一</w:t>
      </w:r>
      <w:r>
        <w:rPr>
          <w:rStyle w:val="29"/>
          <w:rFonts w:hint="eastAsia" w:ascii="仿宋" w:hAnsi="仿宋" w:eastAsia="仿宋"/>
          <w:b w:val="0"/>
          <w:bCs w:val="0"/>
        </w:rPr>
        <w:t>般公共预算财政拨款支出决算明细表</w:t>
      </w:r>
      <w:bookmarkEnd w:id="117"/>
      <w:bookmarkEnd w:id="118"/>
    </w:p>
    <w:p>
      <w:pPr>
        <w:pStyle w:val="5"/>
        <w:rPr>
          <w:rFonts w:ascii="仿宋" w:hAnsi="仿宋" w:eastAsia="仿宋"/>
          <w:color w:val="000000"/>
        </w:rPr>
      </w:pPr>
      <w:bookmarkStart w:id="119" w:name="_Toc15396626"/>
      <w:bookmarkStart w:id="120" w:name="_Toc20009"/>
      <w:r>
        <w:rPr>
          <w:rStyle w:val="29"/>
          <w:rFonts w:hint="eastAsia" w:ascii="仿宋" w:hAnsi="仿宋" w:eastAsia="仿宋"/>
          <w:b w:val="0"/>
          <w:bCs w:val="0"/>
        </w:rPr>
        <w:t>八、</w:t>
      </w:r>
      <w:r>
        <w:rPr>
          <w:rFonts w:hint="eastAsia" w:ascii="仿宋" w:hAnsi="仿宋" w:eastAsia="仿宋"/>
          <w:b w:val="0"/>
          <w:color w:val="000000"/>
        </w:rPr>
        <w:t>一</w:t>
      </w:r>
      <w:r>
        <w:rPr>
          <w:rStyle w:val="29"/>
          <w:rFonts w:hint="eastAsia" w:ascii="仿宋" w:hAnsi="仿宋" w:eastAsia="仿宋"/>
          <w:b w:val="0"/>
          <w:bCs w:val="0"/>
        </w:rPr>
        <w:t>般公共预算财政拨款基本支出决算表</w:t>
      </w:r>
      <w:bookmarkEnd w:id="119"/>
      <w:bookmarkEnd w:id="120"/>
    </w:p>
    <w:p>
      <w:pPr>
        <w:pStyle w:val="5"/>
        <w:rPr>
          <w:rFonts w:ascii="仿宋" w:hAnsi="仿宋" w:eastAsia="仿宋"/>
          <w:color w:val="000000"/>
        </w:rPr>
      </w:pPr>
      <w:bookmarkStart w:id="121" w:name="_Toc15396627"/>
      <w:bookmarkStart w:id="122" w:name="_Toc27127"/>
      <w:r>
        <w:rPr>
          <w:rStyle w:val="29"/>
          <w:rFonts w:hint="eastAsia" w:ascii="仿宋" w:hAnsi="仿宋" w:eastAsia="仿宋"/>
          <w:b w:val="0"/>
          <w:bCs w:val="0"/>
        </w:rPr>
        <w:t>九、</w:t>
      </w:r>
      <w:r>
        <w:rPr>
          <w:rFonts w:hint="eastAsia" w:ascii="仿宋" w:hAnsi="仿宋" w:eastAsia="仿宋"/>
          <w:b w:val="0"/>
          <w:color w:val="000000"/>
        </w:rPr>
        <w:t>一</w:t>
      </w:r>
      <w:r>
        <w:rPr>
          <w:rStyle w:val="29"/>
          <w:rFonts w:hint="eastAsia" w:ascii="仿宋" w:hAnsi="仿宋" w:eastAsia="仿宋"/>
          <w:b w:val="0"/>
          <w:bCs w:val="0"/>
        </w:rPr>
        <w:t>般公共预算财政拨款项目支出决算表</w:t>
      </w:r>
      <w:bookmarkEnd w:id="121"/>
      <w:bookmarkEnd w:id="122"/>
    </w:p>
    <w:p>
      <w:pPr>
        <w:pStyle w:val="5"/>
        <w:rPr>
          <w:rFonts w:ascii="仿宋" w:hAnsi="仿宋" w:eastAsia="仿宋"/>
          <w:color w:val="000000"/>
        </w:rPr>
      </w:pPr>
      <w:bookmarkStart w:id="123" w:name="_Toc24507"/>
      <w:bookmarkStart w:id="124" w:name="_Toc15396628"/>
      <w:r>
        <w:rPr>
          <w:rStyle w:val="29"/>
          <w:rFonts w:hint="eastAsia" w:ascii="仿宋" w:hAnsi="仿宋" w:eastAsia="仿宋"/>
          <w:b w:val="0"/>
          <w:bCs w:val="0"/>
        </w:rPr>
        <w:t>十、</w:t>
      </w:r>
      <w:r>
        <w:rPr>
          <w:rFonts w:hint="eastAsia" w:ascii="仿宋" w:hAnsi="仿宋" w:eastAsia="仿宋"/>
          <w:b w:val="0"/>
          <w:color w:val="000000"/>
        </w:rPr>
        <w:t>一</w:t>
      </w:r>
      <w:r>
        <w:rPr>
          <w:rStyle w:val="29"/>
          <w:rFonts w:hint="eastAsia" w:ascii="仿宋" w:hAnsi="仿宋" w:eastAsia="仿宋"/>
          <w:b w:val="0"/>
          <w:bCs w:val="0"/>
        </w:rPr>
        <w:t>般公共预算财政拨款“三公”经费支出决算表</w:t>
      </w:r>
      <w:bookmarkEnd w:id="123"/>
      <w:bookmarkEnd w:id="124"/>
    </w:p>
    <w:p>
      <w:pPr>
        <w:pStyle w:val="5"/>
        <w:rPr>
          <w:rFonts w:ascii="仿宋" w:hAnsi="仿宋" w:eastAsia="仿宋"/>
          <w:color w:val="000000"/>
        </w:rPr>
      </w:pPr>
      <w:bookmarkStart w:id="125" w:name="_Toc15396629"/>
      <w:bookmarkStart w:id="126" w:name="_Toc23899"/>
      <w:r>
        <w:rPr>
          <w:rStyle w:val="29"/>
          <w:rFonts w:hint="eastAsia" w:ascii="仿宋" w:hAnsi="仿宋" w:eastAsia="仿宋"/>
          <w:b w:val="0"/>
          <w:bCs w:val="0"/>
        </w:rPr>
        <w:t>十一、</w:t>
      </w:r>
      <w:r>
        <w:rPr>
          <w:rFonts w:hint="eastAsia" w:ascii="仿宋" w:hAnsi="仿宋" w:eastAsia="仿宋"/>
          <w:b w:val="0"/>
          <w:color w:val="000000"/>
        </w:rPr>
        <w:t>政</w:t>
      </w:r>
      <w:r>
        <w:rPr>
          <w:rStyle w:val="29"/>
          <w:rFonts w:hint="eastAsia" w:ascii="仿宋" w:hAnsi="仿宋" w:eastAsia="仿宋"/>
          <w:b w:val="0"/>
          <w:bCs w:val="0"/>
        </w:rPr>
        <w:t>府性基金预算财政拨款收入支出决算表</w:t>
      </w:r>
      <w:bookmarkEnd w:id="125"/>
      <w:bookmarkEnd w:id="126"/>
    </w:p>
    <w:p>
      <w:pPr>
        <w:pStyle w:val="5"/>
        <w:rPr>
          <w:rFonts w:ascii="仿宋" w:hAnsi="仿宋" w:eastAsia="仿宋"/>
          <w:color w:val="000000"/>
        </w:rPr>
      </w:pPr>
      <w:bookmarkStart w:id="127" w:name="_Toc15396630"/>
      <w:bookmarkStart w:id="128" w:name="_Toc22629"/>
      <w:r>
        <w:rPr>
          <w:rStyle w:val="29"/>
          <w:rFonts w:hint="eastAsia" w:ascii="仿宋" w:hAnsi="仿宋" w:eastAsia="仿宋"/>
          <w:b w:val="0"/>
          <w:bCs w:val="0"/>
        </w:rPr>
        <w:t>十二、</w:t>
      </w:r>
      <w:r>
        <w:rPr>
          <w:rFonts w:hint="eastAsia" w:ascii="仿宋" w:hAnsi="仿宋" w:eastAsia="仿宋"/>
          <w:b w:val="0"/>
          <w:color w:val="000000"/>
        </w:rPr>
        <w:t>政</w:t>
      </w:r>
      <w:r>
        <w:rPr>
          <w:rStyle w:val="29"/>
          <w:rFonts w:hint="eastAsia" w:ascii="仿宋" w:hAnsi="仿宋" w:eastAsia="仿宋"/>
          <w:b w:val="0"/>
          <w:bCs w:val="0"/>
        </w:rPr>
        <w:t>府性基金预算财政拨款“三公”经费支出决算表</w:t>
      </w:r>
      <w:bookmarkEnd w:id="127"/>
      <w:bookmarkEnd w:id="128"/>
    </w:p>
    <w:p>
      <w:pPr>
        <w:pStyle w:val="5"/>
        <w:rPr>
          <w:rStyle w:val="29"/>
          <w:rFonts w:hint="eastAsia" w:ascii="仿宋" w:hAnsi="仿宋" w:eastAsia="仿宋"/>
          <w:b w:val="0"/>
          <w:bCs w:val="0"/>
        </w:rPr>
      </w:pPr>
      <w:bookmarkStart w:id="129" w:name="_Toc6518"/>
      <w:bookmarkStart w:id="130" w:name="_Toc15396631"/>
      <w:r>
        <w:rPr>
          <w:rStyle w:val="29"/>
          <w:rFonts w:hint="eastAsia" w:ascii="仿宋" w:hAnsi="仿宋" w:eastAsia="仿宋"/>
          <w:b w:val="0"/>
          <w:bCs w:val="0"/>
        </w:rPr>
        <w:t>十三、</w:t>
      </w:r>
      <w:r>
        <w:rPr>
          <w:rFonts w:hint="eastAsia" w:ascii="仿宋" w:hAnsi="仿宋" w:eastAsia="仿宋"/>
          <w:b w:val="0"/>
          <w:color w:val="000000"/>
        </w:rPr>
        <w:t>国</w:t>
      </w:r>
      <w:r>
        <w:rPr>
          <w:rStyle w:val="29"/>
          <w:rFonts w:hint="eastAsia" w:ascii="仿宋" w:hAnsi="仿宋" w:eastAsia="仿宋"/>
          <w:b w:val="0"/>
          <w:bCs w:val="0"/>
        </w:rPr>
        <w:t>有资本经营预算</w:t>
      </w:r>
      <w:r>
        <w:rPr>
          <w:rStyle w:val="29"/>
          <w:rFonts w:hint="eastAsia" w:ascii="仿宋" w:hAnsi="仿宋" w:eastAsia="仿宋"/>
          <w:b w:val="0"/>
          <w:bCs w:val="0"/>
          <w:lang w:eastAsia="zh-CN"/>
        </w:rPr>
        <w:t>财政拨款收入</w:t>
      </w:r>
      <w:r>
        <w:rPr>
          <w:rStyle w:val="29"/>
          <w:rFonts w:hint="eastAsia" w:ascii="仿宋" w:hAnsi="仿宋" w:eastAsia="仿宋"/>
          <w:b w:val="0"/>
          <w:bCs w:val="0"/>
        </w:rPr>
        <w:t>支出决算表</w:t>
      </w:r>
      <w:bookmarkEnd w:id="129"/>
      <w:bookmarkEnd w:id="130"/>
    </w:p>
    <w:p>
      <w:pPr>
        <w:outlineLvl w:val="1"/>
        <w:rPr>
          <w:rFonts w:hint="eastAsia" w:eastAsia="仿宋"/>
          <w:lang w:eastAsia="zh-CN"/>
        </w:rPr>
      </w:pPr>
      <w:bookmarkStart w:id="131" w:name="_Toc21988"/>
      <w:r>
        <w:rPr>
          <w:rStyle w:val="29"/>
          <w:rFonts w:hint="eastAsia" w:ascii="仿宋" w:hAnsi="仿宋" w:eastAsia="仿宋"/>
          <w:b w:val="0"/>
          <w:bCs w:val="0"/>
          <w:lang w:eastAsia="zh-CN"/>
        </w:rPr>
        <w:t>十四、国有资本经营预算财政拨款支出决算表</w:t>
      </w:r>
      <w:bookmarkEnd w:id="131"/>
    </w:p>
    <w:sectPr>
      <w:footerReference r:id="rId6" w:type="first"/>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2000000000000000000"/>
    <w:charset w:val="86"/>
    <w:family w:val="auto"/>
    <w:pitch w:val="default"/>
    <w:sig w:usb0="00000000" w:usb1="00000000" w:usb2="00000012"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42</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42</w:t>
                    </w:r>
                    <w:r>
                      <w:t xml:space="preserve"> 页</w:t>
                    </w:r>
                  </w:p>
                </w:txbxContent>
              </v:textbox>
            </v:shape>
          </w:pict>
        </mc:Fallback>
      </mc:AlternateContent>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D4DA4D62"/>
    <w:multiLevelType w:val="singleLevel"/>
    <w:tmpl w:val="D4DA4D62"/>
    <w:lvl w:ilvl="0" w:tentative="0">
      <w:start w:val="5"/>
      <w:numFmt w:val="chineseCounting"/>
      <w:suff w:val="nothing"/>
      <w:lvlText w:val="%1、"/>
      <w:lvlJc w:val="left"/>
      <w:rPr>
        <w:rFonts w:hint="eastAsia"/>
      </w:rPr>
    </w:lvl>
  </w:abstractNum>
  <w:abstractNum w:abstractNumId="2">
    <w:nsid w:val="E08CC214"/>
    <w:multiLevelType w:val="singleLevel"/>
    <w:tmpl w:val="E08CC214"/>
    <w:lvl w:ilvl="0" w:tentative="0">
      <w:start w:val="1"/>
      <w:numFmt w:val="decimal"/>
      <w:lvlText w:val="%1."/>
      <w:lvlJc w:val="left"/>
      <w:pPr>
        <w:tabs>
          <w:tab w:val="left" w:pos="312"/>
        </w:tabs>
      </w:pPr>
    </w:lvl>
  </w:abstractNum>
  <w:abstractNum w:abstractNumId="3">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192178A4"/>
    <w:multiLevelType w:val="singleLevel"/>
    <w:tmpl w:val="192178A4"/>
    <w:lvl w:ilvl="0" w:tentative="0">
      <w:start w:val="1"/>
      <w:numFmt w:val="chineseCounting"/>
      <w:suff w:val="nothing"/>
      <w:lvlText w:val="（%1）"/>
      <w:lvlJc w:val="left"/>
      <w:rPr>
        <w:rFonts w:hint="eastAsia"/>
      </w:rPr>
    </w:lvl>
  </w:abstractNum>
  <w:abstractNum w:abstractNumId="6">
    <w:nsid w:val="57F1CD5E"/>
    <w:multiLevelType w:val="singleLevel"/>
    <w:tmpl w:val="57F1CD5E"/>
    <w:lvl w:ilvl="0" w:tentative="0">
      <w:start w:val="2"/>
      <w:numFmt w:val="chineseCounting"/>
      <w:suff w:val="nothing"/>
      <w:lvlText w:val="（%1）"/>
      <w:lvlJc w:val="left"/>
      <w:rPr>
        <w:rFonts w:hint="eastAsia"/>
      </w:rPr>
    </w:lvl>
  </w:abstractNum>
  <w:abstractNum w:abstractNumId="7">
    <w:nsid w:val="74099D9F"/>
    <w:multiLevelType w:val="singleLevel"/>
    <w:tmpl w:val="74099D9F"/>
    <w:lvl w:ilvl="0" w:tentative="0">
      <w:start w:val="2"/>
      <w:numFmt w:val="chineseCounting"/>
      <w:suff w:val="nothing"/>
      <w:lvlText w:val="（%1）"/>
      <w:lvlJc w:val="left"/>
      <w:rPr>
        <w:rFonts w:hint="eastAsia"/>
      </w:rPr>
    </w:lvl>
  </w:abstractNum>
  <w:num w:numId="1">
    <w:abstractNumId w:val="4"/>
  </w:num>
  <w:num w:numId="2">
    <w:abstractNumId w:val="2"/>
  </w:num>
  <w:num w:numId="3">
    <w:abstractNumId w:val="0"/>
  </w:num>
  <w:num w:numId="4">
    <w:abstractNumId w:val="3"/>
  </w:num>
  <w:num w:numId="5">
    <w:abstractNumId w:val="5"/>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37A0A"/>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130B69"/>
    <w:rsid w:val="0153484B"/>
    <w:rsid w:val="01AF5224"/>
    <w:rsid w:val="03102289"/>
    <w:rsid w:val="038C2DE8"/>
    <w:rsid w:val="058A538D"/>
    <w:rsid w:val="05AC447F"/>
    <w:rsid w:val="064C332A"/>
    <w:rsid w:val="070373FF"/>
    <w:rsid w:val="07B24FA2"/>
    <w:rsid w:val="083A60D3"/>
    <w:rsid w:val="08480B29"/>
    <w:rsid w:val="086674A8"/>
    <w:rsid w:val="08D7472F"/>
    <w:rsid w:val="09662026"/>
    <w:rsid w:val="09DA0A4D"/>
    <w:rsid w:val="0A2032A3"/>
    <w:rsid w:val="0A372EF9"/>
    <w:rsid w:val="0A8C08DB"/>
    <w:rsid w:val="0ADA2B3E"/>
    <w:rsid w:val="0B351A4D"/>
    <w:rsid w:val="0C3F5064"/>
    <w:rsid w:val="0C435900"/>
    <w:rsid w:val="0C720E99"/>
    <w:rsid w:val="0C9248D5"/>
    <w:rsid w:val="0CE526DA"/>
    <w:rsid w:val="0CE9106C"/>
    <w:rsid w:val="0D6E5D7A"/>
    <w:rsid w:val="0DB62918"/>
    <w:rsid w:val="0DD93BAE"/>
    <w:rsid w:val="0F4E13C0"/>
    <w:rsid w:val="10130F21"/>
    <w:rsid w:val="10355811"/>
    <w:rsid w:val="10AC0A07"/>
    <w:rsid w:val="10B24634"/>
    <w:rsid w:val="10C055FF"/>
    <w:rsid w:val="10E804E4"/>
    <w:rsid w:val="118107EC"/>
    <w:rsid w:val="11B303F2"/>
    <w:rsid w:val="128134C3"/>
    <w:rsid w:val="13753B89"/>
    <w:rsid w:val="13CC33F1"/>
    <w:rsid w:val="148764A0"/>
    <w:rsid w:val="15F14F3B"/>
    <w:rsid w:val="16BB723D"/>
    <w:rsid w:val="170009D2"/>
    <w:rsid w:val="177F2578"/>
    <w:rsid w:val="17B51AA3"/>
    <w:rsid w:val="17FC752B"/>
    <w:rsid w:val="18015F3F"/>
    <w:rsid w:val="18F1458A"/>
    <w:rsid w:val="190B54AF"/>
    <w:rsid w:val="19205A3C"/>
    <w:rsid w:val="193473F1"/>
    <w:rsid w:val="19810D39"/>
    <w:rsid w:val="198D1C26"/>
    <w:rsid w:val="1A69641F"/>
    <w:rsid w:val="1A8B733B"/>
    <w:rsid w:val="1AF902DB"/>
    <w:rsid w:val="1B1D0422"/>
    <w:rsid w:val="1B862ABC"/>
    <w:rsid w:val="1BE8440E"/>
    <w:rsid w:val="1C8F5827"/>
    <w:rsid w:val="1CAE33FD"/>
    <w:rsid w:val="1D155CEE"/>
    <w:rsid w:val="1E275A5B"/>
    <w:rsid w:val="1EC555AB"/>
    <w:rsid w:val="1F905395"/>
    <w:rsid w:val="1F9F570F"/>
    <w:rsid w:val="1FA33D53"/>
    <w:rsid w:val="200064E1"/>
    <w:rsid w:val="203B02A4"/>
    <w:rsid w:val="204822AC"/>
    <w:rsid w:val="204E6CB8"/>
    <w:rsid w:val="20F57F95"/>
    <w:rsid w:val="21251E43"/>
    <w:rsid w:val="21B01699"/>
    <w:rsid w:val="21C77305"/>
    <w:rsid w:val="21D87A58"/>
    <w:rsid w:val="23D123E6"/>
    <w:rsid w:val="23FE4751"/>
    <w:rsid w:val="240371BF"/>
    <w:rsid w:val="24523FA0"/>
    <w:rsid w:val="256E1F5D"/>
    <w:rsid w:val="25C53EF1"/>
    <w:rsid w:val="26546788"/>
    <w:rsid w:val="268C55A5"/>
    <w:rsid w:val="26EA5BB6"/>
    <w:rsid w:val="26F45E34"/>
    <w:rsid w:val="26FF73D9"/>
    <w:rsid w:val="27842671"/>
    <w:rsid w:val="27D6294B"/>
    <w:rsid w:val="27E67754"/>
    <w:rsid w:val="27FA40F6"/>
    <w:rsid w:val="284965CD"/>
    <w:rsid w:val="29A64BF8"/>
    <w:rsid w:val="29D72977"/>
    <w:rsid w:val="29FD04D3"/>
    <w:rsid w:val="2A7449D2"/>
    <w:rsid w:val="2ABB01AD"/>
    <w:rsid w:val="2ABE7A3E"/>
    <w:rsid w:val="2D137C4C"/>
    <w:rsid w:val="2D147A7C"/>
    <w:rsid w:val="2D7D501E"/>
    <w:rsid w:val="2D7F73FE"/>
    <w:rsid w:val="2E104EE0"/>
    <w:rsid w:val="2F074F71"/>
    <w:rsid w:val="319C0090"/>
    <w:rsid w:val="319F7F4E"/>
    <w:rsid w:val="323F5EF9"/>
    <w:rsid w:val="32557DF8"/>
    <w:rsid w:val="33B5419E"/>
    <w:rsid w:val="33CD3272"/>
    <w:rsid w:val="34D363FB"/>
    <w:rsid w:val="353B3979"/>
    <w:rsid w:val="364324A5"/>
    <w:rsid w:val="36A25C89"/>
    <w:rsid w:val="39085620"/>
    <w:rsid w:val="395F7404"/>
    <w:rsid w:val="39FF1A28"/>
    <w:rsid w:val="3BBC4CFC"/>
    <w:rsid w:val="3C0C0783"/>
    <w:rsid w:val="3DDD1D3A"/>
    <w:rsid w:val="3DDE4C25"/>
    <w:rsid w:val="3EF15D93"/>
    <w:rsid w:val="3EF648EA"/>
    <w:rsid w:val="4000593E"/>
    <w:rsid w:val="41480B3A"/>
    <w:rsid w:val="42266C26"/>
    <w:rsid w:val="428D122E"/>
    <w:rsid w:val="432D58DB"/>
    <w:rsid w:val="437E4D45"/>
    <w:rsid w:val="44740FB9"/>
    <w:rsid w:val="44896A76"/>
    <w:rsid w:val="458B43F8"/>
    <w:rsid w:val="461A2E3D"/>
    <w:rsid w:val="46794DAF"/>
    <w:rsid w:val="47496094"/>
    <w:rsid w:val="47D36643"/>
    <w:rsid w:val="48455305"/>
    <w:rsid w:val="493C27E9"/>
    <w:rsid w:val="493F70A9"/>
    <w:rsid w:val="496F39ED"/>
    <w:rsid w:val="49C72443"/>
    <w:rsid w:val="49FF41D3"/>
    <w:rsid w:val="4BE068DB"/>
    <w:rsid w:val="4BF6002B"/>
    <w:rsid w:val="4C1379D3"/>
    <w:rsid w:val="4C2B13E4"/>
    <w:rsid w:val="4D0D2181"/>
    <w:rsid w:val="4D485324"/>
    <w:rsid w:val="4E842624"/>
    <w:rsid w:val="4ECE2238"/>
    <w:rsid w:val="50D63689"/>
    <w:rsid w:val="51141AA9"/>
    <w:rsid w:val="51654FAE"/>
    <w:rsid w:val="51C83AB0"/>
    <w:rsid w:val="52692C79"/>
    <w:rsid w:val="53616CB8"/>
    <w:rsid w:val="53806A32"/>
    <w:rsid w:val="53DB51E9"/>
    <w:rsid w:val="54376EBC"/>
    <w:rsid w:val="54A83EF9"/>
    <w:rsid w:val="54BE64B8"/>
    <w:rsid w:val="560451A2"/>
    <w:rsid w:val="56277E6B"/>
    <w:rsid w:val="564916C5"/>
    <w:rsid w:val="56A67648"/>
    <w:rsid w:val="57214C76"/>
    <w:rsid w:val="57DB564A"/>
    <w:rsid w:val="582E7B0A"/>
    <w:rsid w:val="586F202F"/>
    <w:rsid w:val="58874A00"/>
    <w:rsid w:val="58A60074"/>
    <w:rsid w:val="58CC3141"/>
    <w:rsid w:val="59203845"/>
    <w:rsid w:val="596F38A6"/>
    <w:rsid w:val="5A0A315E"/>
    <w:rsid w:val="5A2F4A4B"/>
    <w:rsid w:val="5B64326A"/>
    <w:rsid w:val="5C72573C"/>
    <w:rsid w:val="5C931FB7"/>
    <w:rsid w:val="5D105EBC"/>
    <w:rsid w:val="5DE55BD2"/>
    <w:rsid w:val="5F8472D2"/>
    <w:rsid w:val="60A12417"/>
    <w:rsid w:val="60F40FF2"/>
    <w:rsid w:val="617C3484"/>
    <w:rsid w:val="6205707C"/>
    <w:rsid w:val="639A096A"/>
    <w:rsid w:val="64CA39A1"/>
    <w:rsid w:val="654153CE"/>
    <w:rsid w:val="666F079A"/>
    <w:rsid w:val="6676128D"/>
    <w:rsid w:val="66D14E4A"/>
    <w:rsid w:val="67775D05"/>
    <w:rsid w:val="677F0512"/>
    <w:rsid w:val="67DD5026"/>
    <w:rsid w:val="68510278"/>
    <w:rsid w:val="68EA3F76"/>
    <w:rsid w:val="690973AE"/>
    <w:rsid w:val="6932247D"/>
    <w:rsid w:val="69B00BD4"/>
    <w:rsid w:val="6A2B5148"/>
    <w:rsid w:val="6A516D72"/>
    <w:rsid w:val="6A522936"/>
    <w:rsid w:val="6A6064FB"/>
    <w:rsid w:val="6BA066F4"/>
    <w:rsid w:val="6C3E4A96"/>
    <w:rsid w:val="6C4A05C8"/>
    <w:rsid w:val="6CD0627C"/>
    <w:rsid w:val="6D0C6A93"/>
    <w:rsid w:val="6EAB1AFA"/>
    <w:rsid w:val="6F0B04B1"/>
    <w:rsid w:val="6F1054A8"/>
    <w:rsid w:val="6F4D0B9A"/>
    <w:rsid w:val="700C67A7"/>
    <w:rsid w:val="709E6D55"/>
    <w:rsid w:val="70F41F86"/>
    <w:rsid w:val="727311C9"/>
    <w:rsid w:val="72734D90"/>
    <w:rsid w:val="7329280E"/>
    <w:rsid w:val="732B1986"/>
    <w:rsid w:val="739C18C7"/>
    <w:rsid w:val="73D45C0C"/>
    <w:rsid w:val="7455183A"/>
    <w:rsid w:val="74AE4C63"/>
    <w:rsid w:val="74EE35A9"/>
    <w:rsid w:val="74F10A22"/>
    <w:rsid w:val="74F83F2B"/>
    <w:rsid w:val="75976B36"/>
    <w:rsid w:val="75FA40E5"/>
    <w:rsid w:val="76A46731"/>
    <w:rsid w:val="76B57151"/>
    <w:rsid w:val="7751021C"/>
    <w:rsid w:val="77587A75"/>
    <w:rsid w:val="77886570"/>
    <w:rsid w:val="77B57D91"/>
    <w:rsid w:val="78EA71E5"/>
    <w:rsid w:val="78FE0080"/>
    <w:rsid w:val="79E56557"/>
    <w:rsid w:val="7A11469D"/>
    <w:rsid w:val="7A3D5A95"/>
    <w:rsid w:val="7A423D5C"/>
    <w:rsid w:val="7AD92DC8"/>
    <w:rsid w:val="7B417DCA"/>
    <w:rsid w:val="7B5301F5"/>
    <w:rsid w:val="7B77362E"/>
    <w:rsid w:val="7CE153F8"/>
    <w:rsid w:val="7D0C15C1"/>
    <w:rsid w:val="7DC07908"/>
    <w:rsid w:val="7DD42600"/>
    <w:rsid w:val="7E29315A"/>
    <w:rsid w:val="7E86051F"/>
    <w:rsid w:val="7EF15581"/>
    <w:rsid w:val="7F002667"/>
    <w:rsid w:val="7F0E0FE7"/>
    <w:rsid w:val="7F777267"/>
    <w:rsid w:val="7FBF4E32"/>
    <w:rsid w:val="7FEF158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章标题"/>
    <w:basedOn w:val="1"/>
    <w:next w:val="3"/>
    <w:qFormat/>
    <w:uiPriority w:val="99"/>
    <w:pPr>
      <w:widowControl/>
      <w:spacing w:before="158" w:after="153" w:line="323" w:lineRule="atLeast"/>
      <w:ind w:right="-120"/>
      <w:jc w:val="center"/>
      <w:textAlignment w:val="baseline"/>
    </w:pPr>
    <w:rPr>
      <w:color w:val="FF0000"/>
      <w:sz w:val="18"/>
      <w:szCs w:val="18"/>
    </w:rPr>
  </w:style>
  <w:style w:type="paragraph" w:customStyle="1" w:styleId="3">
    <w:name w:val="节标题"/>
    <w:basedOn w:val="1"/>
    <w:next w:val="1"/>
    <w:qFormat/>
    <w:uiPriority w:val="99"/>
    <w:pPr>
      <w:widowControl/>
      <w:spacing w:line="289" w:lineRule="atLeast"/>
      <w:jc w:val="center"/>
      <w:textAlignment w:val="baseline"/>
    </w:pPr>
    <w:rPr>
      <w:color w:val="000000"/>
      <w:sz w:val="28"/>
      <w:szCs w:val="28"/>
    </w:rPr>
  </w:style>
  <w:style w:type="paragraph" w:styleId="7">
    <w:name w:val="Body Text"/>
    <w:basedOn w:val="1"/>
    <w:link w:val="25"/>
    <w:qFormat/>
    <w:uiPriority w:val="99"/>
    <w:pPr>
      <w:spacing w:beforeLines="30"/>
    </w:pPr>
    <w:rPr>
      <w:rFonts w:ascii="仿宋_GB2312" w:eastAsia="仿宋_GB2312"/>
      <w:kern w:val="0"/>
      <w:sz w:val="30"/>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1"/>
    <w:semiHidden/>
    <w:unhideWhenUsed/>
    <w:qFormat/>
    <w:uiPriority w:val="99"/>
    <w:rPr>
      <w:sz w:val="18"/>
      <w:szCs w:val="18"/>
    </w:rPr>
  </w:style>
  <w:style w:type="paragraph" w:styleId="10">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9">
    <w:name w:val="常用样式（方正仿宋简）"/>
    <w:basedOn w:val="1"/>
    <w:unhideWhenUsed/>
    <w:qFormat/>
    <w:uiPriority w:val="0"/>
    <w:pPr>
      <w:spacing w:line="560" w:lineRule="exact"/>
      <w:ind w:firstLine="640" w:firstLineChars="200"/>
    </w:pPr>
    <w:rPr>
      <w:rFonts w:hint="default" w:ascii="方正仿宋简体" w:eastAsia="方正仿宋简体"/>
      <w:sz w:val="32"/>
    </w:rPr>
  </w:style>
  <w:style w:type="character" w:customStyle="1" w:styleId="20">
    <w:name w:val="Header Char"/>
    <w:basedOn w:val="14"/>
    <w:semiHidden/>
    <w:qFormat/>
    <w:uiPriority w:val="99"/>
    <w:rPr>
      <w:rFonts w:ascii="Times New Roman" w:hAnsi="Times New Roman"/>
      <w:sz w:val="18"/>
      <w:szCs w:val="18"/>
    </w:rPr>
  </w:style>
  <w:style w:type="character" w:customStyle="1" w:styleId="21">
    <w:name w:val="页眉 Char"/>
    <w:link w:val="11"/>
    <w:semiHidden/>
    <w:qFormat/>
    <w:locked/>
    <w:uiPriority w:val="99"/>
    <w:rPr>
      <w:sz w:val="18"/>
    </w:rPr>
  </w:style>
  <w:style w:type="character" w:customStyle="1" w:styleId="22">
    <w:name w:val="Footer Char"/>
    <w:basedOn w:val="14"/>
    <w:semiHidden/>
    <w:qFormat/>
    <w:uiPriority w:val="99"/>
    <w:rPr>
      <w:rFonts w:ascii="Times New Roman" w:hAnsi="Times New Roman"/>
      <w:sz w:val="18"/>
      <w:szCs w:val="18"/>
    </w:rPr>
  </w:style>
  <w:style w:type="character" w:customStyle="1" w:styleId="23">
    <w:name w:val="页脚 Char"/>
    <w:link w:val="10"/>
    <w:qFormat/>
    <w:locked/>
    <w:uiPriority w:val="99"/>
    <w:rPr>
      <w:sz w:val="18"/>
    </w:rPr>
  </w:style>
  <w:style w:type="character" w:customStyle="1" w:styleId="24">
    <w:name w:val="Body Text Char"/>
    <w:basedOn w:val="14"/>
    <w:semiHidden/>
    <w:qFormat/>
    <w:uiPriority w:val="99"/>
    <w:rPr>
      <w:rFonts w:ascii="Times New Roman" w:hAnsi="Times New Roman"/>
      <w:szCs w:val="24"/>
    </w:rPr>
  </w:style>
  <w:style w:type="character" w:customStyle="1" w:styleId="25">
    <w:name w:val="正文文本 Char"/>
    <w:link w:val="7"/>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4"/>
    <w:link w:val="4"/>
    <w:qFormat/>
    <w:uiPriority w:val="9"/>
    <w:rPr>
      <w:rFonts w:ascii="Times New Roman" w:hAnsi="Times New Roman"/>
      <w:b/>
      <w:bCs/>
      <w:kern w:val="44"/>
      <w:sz w:val="44"/>
      <w:szCs w:val="44"/>
    </w:rPr>
  </w:style>
  <w:style w:type="character" w:customStyle="1" w:styleId="29">
    <w:name w:val="标题 2 Char"/>
    <w:basedOn w:val="14"/>
    <w:link w:val="5"/>
    <w:qFormat/>
    <w:uiPriority w:val="9"/>
    <w:rPr>
      <w:rFonts w:asciiTheme="majorHAnsi" w:hAnsiTheme="majorHAnsi" w:eastAsiaTheme="majorEastAsia" w:cstheme="majorBidi"/>
      <w:b/>
      <w:bCs/>
      <w:kern w:val="2"/>
      <w:sz w:val="32"/>
      <w:szCs w:val="32"/>
    </w:rPr>
  </w:style>
  <w:style w:type="paragraph" w:customStyle="1" w:styleId="30">
    <w:name w:val="TOC 标题1"/>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Char"/>
    <w:basedOn w:val="14"/>
    <w:link w:val="9"/>
    <w:semiHidden/>
    <w:qFormat/>
    <w:uiPriority w:val="99"/>
    <w:rPr>
      <w:rFonts w:ascii="Times New Roman" w:hAnsi="Times New Roman"/>
      <w:kern w:val="2"/>
      <w:sz w:val="18"/>
      <w:szCs w:val="18"/>
    </w:rPr>
  </w:style>
  <w:style w:type="character" w:customStyle="1" w:styleId="32">
    <w:name w:val="标题 3 Char"/>
    <w:basedOn w:val="14"/>
    <w:link w:val="6"/>
    <w:qFormat/>
    <w:uiPriority w:val="9"/>
    <w:rPr>
      <w:rFonts w:ascii="Times New Roman" w:hAnsi="Times New Roman"/>
      <w:b/>
      <w:bCs/>
      <w:kern w:val="2"/>
      <w:sz w:val="32"/>
      <w:szCs w:val="32"/>
    </w:rPr>
  </w:style>
  <w:style w:type="paragraph" w:customStyle="1" w:styleId="33">
    <w:name w:val="TOC Heading"/>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WPSOffice手动目录 1"/>
    <w:qFormat/>
    <w:uiPriority w:val="0"/>
    <w:pPr>
      <w:ind w:leftChars="0"/>
    </w:pPr>
    <w:rPr>
      <w:rFonts w:ascii="Times New Roman" w:hAnsi="Times New Roman" w:eastAsia="宋体" w:cs="Times New Roman"/>
      <w:sz w:val="20"/>
      <w:szCs w:val="20"/>
    </w:rPr>
  </w:style>
  <w:style w:type="paragraph" w:customStyle="1" w:styleId="35">
    <w:name w:val="WPSOffice手动目录 2"/>
    <w:qFormat/>
    <w:uiPriority w:val="0"/>
    <w:pPr>
      <w:ind w:leftChars="200"/>
    </w:pPr>
    <w:rPr>
      <w:rFonts w:ascii="Times New Roman" w:hAnsi="Times New Roman" w:eastAsia="宋体" w:cs="Times New Roman"/>
      <w:sz w:val="20"/>
      <w:szCs w:val="20"/>
    </w:rPr>
  </w:style>
  <w:style w:type="paragraph" w:customStyle="1" w:styleId="36">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chart" Target="charts/chart7.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787"/>
          <c:y val="0.0231666666666667"/>
          <c:w val="0.8938"/>
          <c:h val="0.898733333333333"/>
        </c:manualLayout>
      </c:layout>
      <c:barChart>
        <c:barDir val="col"/>
        <c:grouping val="clustered"/>
        <c:varyColors val="0"/>
        <c:ser>
          <c:idx val="0"/>
          <c:order val="0"/>
          <c:tx>
            <c:strRef>
              <c:f>Sheet1!$B$1</c:f>
              <c:strCache>
                <c:ptCount val="1"/>
                <c:pt idx="0">
                  <c:v>收入</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4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2019年</c:v>
                </c:pt>
                <c:pt idx="1">
                  <c:v>2020年</c:v>
                </c:pt>
              </c:strCache>
            </c:strRef>
          </c:cat>
          <c:val>
            <c:numRef>
              <c:f>Sheet1!$B$2:$B$3</c:f>
              <c:numCache>
                <c:formatCode>General</c:formatCode>
                <c:ptCount val="2"/>
                <c:pt idx="0">
                  <c:v>1087.95</c:v>
                </c:pt>
                <c:pt idx="1">
                  <c:v>1553.15</c:v>
                </c:pt>
              </c:numCache>
            </c:numRef>
          </c:val>
        </c:ser>
        <c:ser>
          <c:idx val="1"/>
          <c:order val="1"/>
          <c:tx>
            <c:strRef>
              <c:f>Sheet1!$C$1</c:f>
              <c:strCache>
                <c:ptCount val="1"/>
                <c:pt idx="0">
                  <c:v>支出</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4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2019年</c:v>
                </c:pt>
                <c:pt idx="1">
                  <c:v>2020年</c:v>
                </c:pt>
              </c:strCache>
            </c:strRef>
          </c:cat>
          <c:val>
            <c:numRef>
              <c:f>Sheet1!$C$2:$C$3</c:f>
              <c:numCache>
                <c:formatCode>General</c:formatCode>
                <c:ptCount val="2"/>
                <c:pt idx="0">
                  <c:v>1087.95</c:v>
                </c:pt>
                <c:pt idx="1">
                  <c:v>1553.15</c:v>
                </c:pt>
              </c:numCache>
            </c:numRef>
          </c:val>
        </c:ser>
        <c:dLbls>
          <c:showLegendKey val="0"/>
          <c:showVal val="1"/>
          <c:showCatName val="0"/>
          <c:showSerName val="0"/>
          <c:showPercent val="0"/>
          <c:showBubbleSize val="0"/>
        </c:dLbls>
        <c:gapWidth val="219"/>
        <c:overlap val="-27"/>
        <c:axId val="58648386"/>
        <c:axId val="518309003"/>
      </c:barChart>
      <c:catAx>
        <c:axId val="5864838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18309003"/>
        <c:crosses val="autoZero"/>
        <c:auto val="1"/>
        <c:lblAlgn val="ctr"/>
        <c:lblOffset val="100"/>
        <c:noMultiLvlLbl val="0"/>
      </c:catAx>
      <c:valAx>
        <c:axId val="51830900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64838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收入</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0"/>
              <c:layout>
                <c:manualLayout>
                  <c:x val="0.054125"/>
                  <c:y val="-0.0643333333333333"/>
                </c:manualLayout>
              </c:layout>
              <c:tx>
                <c:rich>
                  <a:bodyPr rot="0" spcFirstLastPara="0" vertOverflow="ellipsis" vert="horz" wrap="square" lIns="38100" tIns="19050" rIns="38100" bIns="19050" anchor="ctr" anchorCtr="1"/>
                  <a:lstStyle/>
                  <a:p>
                    <a:pPr defTabSz="914400">
                      <a:defRPr lang="zh-CN" sz="1400" b="0" i="0" u="none" strike="noStrike" kern="1200" baseline="0">
                        <a:solidFill>
                          <a:schemeClr val="tx1">
                            <a:lumMod val="75000"/>
                            <a:lumOff val="25000"/>
                          </a:schemeClr>
                        </a:solidFill>
                        <a:latin typeface="+mn-lt"/>
                        <a:ea typeface="+mn-ea"/>
                        <a:cs typeface="+mn-cs"/>
                      </a:defRPr>
                    </a:pPr>
                    <a:r>
                      <a:rPr lang="en-US" altLang="zh-CN" sz="1400"/>
                      <a:t>736.54</a:t>
                    </a:r>
                    <a:endParaRPr lang="en-US" altLang="zh-CN" sz="1400"/>
                  </a:p>
                </c:rich>
              </c:tx>
              <c:dLblPos val="bestFit"/>
              <c:showLegendKey val="0"/>
              <c:showVal val="0"/>
              <c:showCatName val="0"/>
              <c:showSerName val="0"/>
              <c:showPercent val="1"/>
              <c:showBubbleSize val="0"/>
              <c:extLst>
                <c:ext xmlns:c15="http://schemas.microsoft.com/office/drawing/2012/chart" uri="{CE6537A1-D6FC-4f65-9D91-7224C49458BB}">
                  <c15:layout>
                    <c:manualLayout>
                      <c:w val="0.11575"/>
                      <c:h val="0.0821666666666667"/>
                    </c:manualLayout>
                  </c15:layout>
                </c:ext>
              </c:extLst>
            </c:dLbl>
            <c:dLbl>
              <c:idx val="1"/>
              <c:layout>
                <c:manualLayout>
                  <c:x val="-0.050125"/>
                  <c:y val="0.0305"/>
                </c:manualLayout>
              </c:layout>
              <c:tx>
                <c:rich>
                  <a:bodyPr rot="0" spcFirstLastPara="0" vertOverflow="ellipsis" vert="horz" wrap="square" lIns="38100" tIns="19050" rIns="38100" bIns="19050" anchor="ctr" anchorCtr="1"/>
                  <a:lstStyle/>
                  <a:p>
                    <a:pPr defTabSz="914400">
                      <a:defRPr lang="zh-CN" sz="1400" b="0" i="0" u="none" strike="noStrike" kern="1200" baseline="0">
                        <a:solidFill>
                          <a:schemeClr val="tx1">
                            <a:lumMod val="75000"/>
                            <a:lumOff val="25000"/>
                          </a:schemeClr>
                        </a:solidFill>
                        <a:latin typeface="+mn-lt"/>
                        <a:ea typeface="+mn-ea"/>
                        <a:cs typeface="+mn-cs"/>
                      </a:defRPr>
                    </a:pPr>
                    <a:r>
                      <a:rPr lang="en-US" altLang="zh-CN" sz="1400"/>
                      <a:t>813.18</a:t>
                    </a:r>
                    <a:endParaRPr sz="1400"/>
                  </a:p>
                </c:rich>
              </c:tx>
              <c:dLblPos val="bestFit"/>
              <c:showLegendKey val="0"/>
              <c:showVal val="0"/>
              <c:showCatName val="0"/>
              <c:showSerName val="0"/>
              <c:showPercent val="1"/>
              <c:showBubbleSize val="0"/>
              <c:extLst>
                <c:ext xmlns:c15="http://schemas.microsoft.com/office/drawing/2012/chart" uri="{CE6537A1-D6FC-4f65-9D91-7224C49458BB}">
                  <c15:layout>
                    <c:manualLayout>
                      <c:w val="0.119625"/>
                      <c:h val="0.0756666666666667"/>
                    </c:manualLayout>
                  </c15:layout>
                </c:ext>
              </c:extLst>
            </c:dLbl>
            <c:dLbl>
              <c:idx val="2"/>
              <c:layout>
                <c:manualLayout>
                  <c:x val="0.143875"/>
                  <c:y val="0.008"/>
                </c:manualLayout>
              </c:layout>
              <c:tx>
                <c:rich>
                  <a:bodyPr rot="0" spcFirstLastPara="0" vertOverflow="ellipsis" vert="horz" wrap="square" lIns="38100" tIns="19050" rIns="38100" bIns="19050" anchor="ctr" anchorCtr="1"/>
                  <a:lstStyle/>
                  <a:p>
                    <a:pPr defTabSz="914400">
                      <a:defRPr lang="zh-CN" sz="1400" b="0" i="0" u="none" strike="noStrike" kern="1200" baseline="0">
                        <a:solidFill>
                          <a:schemeClr val="tx1">
                            <a:lumMod val="75000"/>
                            <a:lumOff val="25000"/>
                          </a:schemeClr>
                        </a:solidFill>
                        <a:latin typeface="+mn-lt"/>
                        <a:ea typeface="+mn-ea"/>
                        <a:cs typeface="+mn-cs"/>
                      </a:defRPr>
                    </a:pPr>
                    <a:r>
                      <a:rPr lang="en-US" altLang="zh-CN" sz="1400"/>
                      <a:t>3.43</a:t>
                    </a:r>
                    <a:endParaRPr lang="en-US" altLang="zh-CN" sz="1400"/>
                  </a:p>
                </c:rich>
              </c:tx>
              <c:dLblPos val="bestFit"/>
              <c:showLegendKey val="0"/>
              <c:showVal val="0"/>
              <c:showCatName val="0"/>
              <c:showSerName val="0"/>
              <c:showPercent val="1"/>
              <c:showBubbleSize val="0"/>
              <c:extLst>
                <c:ext xmlns:c15="http://schemas.microsoft.com/office/drawing/2012/chart" uri="{CE6537A1-D6FC-4f65-9D91-7224C49458BB}">
                  <c15:layout>
                    <c:manualLayout>
                      <c:w val="0.107125"/>
                      <c:h val="0.0811666666666667"/>
                    </c:manualLayout>
                  </c15:layout>
                </c:ext>
              </c:extLst>
            </c:dLbl>
            <c:spPr>
              <a:noFill/>
              <a:ln>
                <a:noFill/>
              </a:ln>
              <a:effectLst/>
            </c:spPr>
            <c:txPr>
              <a:bodyPr rot="0" spcFirstLastPara="0" vertOverflow="ellipsis" vert="horz" wrap="square" lIns="38100" tIns="19050" rIns="38100" bIns="19050" anchor="ctr" anchorCtr="1"/>
              <a:lstStyle/>
              <a:p>
                <a:pPr>
                  <a:defRPr lang="zh-CN" sz="1400" b="0" i="0" u="none" strike="noStrike" kern="1200" baseline="0">
                    <a:solidFill>
                      <a:schemeClr val="tx1">
                        <a:lumMod val="75000"/>
                        <a:lumOff val="25000"/>
                      </a:schemeClr>
                    </a:solidFill>
                    <a:latin typeface="+mn-lt"/>
                    <a:ea typeface="+mn-ea"/>
                    <a:cs typeface="+mn-cs"/>
                  </a:defRPr>
                </a:pPr>
              </a:p>
            </c:txPr>
            <c:dLblPos val="out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一般公共预算财政拨款收入</c:v>
                </c:pt>
                <c:pt idx="1">
                  <c:v>事业收入</c:v>
                </c:pt>
                <c:pt idx="2">
                  <c:v>其他收入</c:v>
                </c:pt>
              </c:strCache>
            </c:strRef>
          </c:cat>
          <c:val>
            <c:numRef>
              <c:f>Sheet1!$B$2:$B$4</c:f>
              <c:numCache>
                <c:formatCode>General</c:formatCode>
                <c:ptCount val="3"/>
                <c:pt idx="0">
                  <c:v>736.54</c:v>
                </c:pt>
                <c:pt idx="1">
                  <c:v>813.18</c:v>
                </c:pt>
                <c:pt idx="2">
                  <c:v>3.43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支出</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manualLayout>
                  <c:x val="0.204125"/>
                  <c:y val="-0.0416666666666667"/>
                </c:manualLayout>
              </c:layout>
              <c:tx>
                <c:rich>
                  <a:bodyPr rot="0" spcFirstLastPara="0" vertOverflow="ellipsis" vert="horz" wrap="square" lIns="38100" tIns="19050" rIns="38100" bIns="19050" anchor="ctr" anchorCtr="1"/>
                  <a:lstStyle/>
                  <a:p>
                    <a:pPr defTabSz="914400">
                      <a:defRPr lang="zh-CN" sz="1400" b="0" i="0" u="none" strike="noStrike" kern="1200" baseline="0">
                        <a:solidFill>
                          <a:schemeClr val="tx1">
                            <a:lumMod val="75000"/>
                            <a:lumOff val="25000"/>
                          </a:schemeClr>
                        </a:solidFill>
                        <a:latin typeface="+mn-lt"/>
                        <a:ea typeface="+mn-ea"/>
                        <a:cs typeface="+mn-cs"/>
                      </a:defRPr>
                    </a:pPr>
                    <a:r>
                      <a:rPr lang="en-US" altLang="zh-CN" sz="1400"/>
                      <a:t>1157.45</a:t>
                    </a:r>
                    <a:endParaRPr sz="1400"/>
                  </a:p>
                </c:rich>
              </c:tx>
              <c:dLblPos val="bestFit"/>
              <c:showLegendKey val="0"/>
              <c:showVal val="0"/>
              <c:showCatName val="0"/>
              <c:showSerName val="0"/>
              <c:showPercent val="1"/>
              <c:showBubbleSize val="0"/>
              <c:extLst>
                <c:ext xmlns:c15="http://schemas.microsoft.com/office/drawing/2012/chart" uri="{CE6537A1-D6FC-4f65-9D91-7224C49458BB}">
                  <c15:layout>
                    <c:manualLayout>
                      <c:w val="0.1785026149188"/>
                      <c:h val="0.11126817447496"/>
                    </c:manualLayout>
                  </c15:layout>
                </c:ext>
              </c:extLst>
            </c:dLbl>
            <c:dLbl>
              <c:idx val="1"/>
              <c:layout>
                <c:manualLayout>
                  <c:x val="-0.1325"/>
                  <c:y val="0.0295"/>
                </c:manualLayout>
              </c:layout>
              <c:tx>
                <c:rich>
                  <a:bodyPr rot="0" spcFirstLastPara="0" vertOverflow="ellipsis" vert="horz" wrap="square" lIns="38100" tIns="19050" rIns="38100" bIns="19050" anchor="ctr" anchorCtr="1"/>
                  <a:lstStyle/>
                  <a:p>
                    <a:pPr defTabSz="914400">
                      <a:defRPr lang="zh-CN" sz="1400" b="0" i="0" u="none" strike="noStrike" kern="1200" baseline="0">
                        <a:solidFill>
                          <a:schemeClr val="tx1">
                            <a:lumMod val="75000"/>
                            <a:lumOff val="25000"/>
                          </a:schemeClr>
                        </a:solidFill>
                        <a:latin typeface="+mn-lt"/>
                        <a:ea typeface="+mn-ea"/>
                        <a:cs typeface="+mn-cs"/>
                      </a:defRPr>
                    </a:pPr>
                    <a:r>
                      <a:rPr lang="en-US" altLang="zh-CN" sz="1400"/>
                      <a:t>120</a:t>
                    </a:r>
                    <a:endParaRPr sz="1400"/>
                  </a:p>
                </c:rich>
              </c:tx>
              <c:dLblPos val="bestFit"/>
              <c:showLegendKey val="0"/>
              <c:showVal val="0"/>
              <c:showCatName val="0"/>
              <c:showSerName val="0"/>
              <c:showPercent val="1"/>
              <c:showBubbleSize val="0"/>
              <c:extLst>
                <c:ext xmlns:c15="http://schemas.microsoft.com/office/drawing/2012/chart" uri="{CE6537A1-D6FC-4f65-9D91-7224C49458BB}">
                  <c15:layout>
                    <c:manualLayout>
                      <c:w val="0.09275"/>
                      <c:h val="0.09"/>
                    </c:manualLayout>
                  </c15:layout>
                </c:ext>
              </c:extLst>
            </c:dLbl>
            <c:spPr>
              <a:noFill/>
              <a:ln>
                <a:noFill/>
              </a:ln>
              <a:effectLst/>
            </c:spPr>
            <c:txPr>
              <a:bodyPr rot="0" spcFirstLastPara="0" vertOverflow="ellipsis" vert="horz" wrap="square" lIns="38100" tIns="19050" rIns="38100" bIns="19050" anchor="ctr" anchorCtr="1"/>
              <a:lstStyle/>
              <a:p>
                <a:pPr>
                  <a:defRPr lang="zh-CN" sz="1400" b="0" i="0" u="none" strike="noStrike" kern="1200" baseline="0">
                    <a:solidFill>
                      <a:schemeClr val="tx1">
                        <a:lumMod val="75000"/>
                        <a:lumOff val="25000"/>
                      </a:schemeClr>
                    </a:solidFill>
                    <a:latin typeface="+mn-lt"/>
                    <a:ea typeface="+mn-ea"/>
                    <a:cs typeface="+mn-cs"/>
                  </a:defRPr>
                </a:pPr>
              </a:p>
            </c:txPr>
            <c:dLblPos val="out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1157.45</c:v>
                </c:pt>
                <c:pt idx="1">
                  <c:v>120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6325"/>
          <c:y val="0.1695"/>
          <c:w val="0.882425"/>
          <c:h val="0.618233333333333"/>
        </c:manualLayout>
      </c:layout>
      <c:barChart>
        <c:barDir val="col"/>
        <c:grouping val="clustered"/>
        <c:varyColors val="0"/>
        <c:ser>
          <c:idx val="0"/>
          <c:order val="0"/>
          <c:spPr>
            <a:solidFill>
              <a:schemeClr val="accent1"/>
            </a:solidFill>
            <a:ln>
              <a:noFill/>
            </a:ln>
            <a:effectLst/>
          </c:spPr>
          <c:invertIfNegative val="0"/>
          <c:dLbls>
            <c:dLbl>
              <c:idx val="1"/>
              <c:layout/>
              <c:tx>
                <c:rich>
                  <a:bodyPr rot="0" spcFirstLastPara="0" vertOverflow="ellipsis" vert="horz" wrap="square" lIns="38100" tIns="19050" rIns="38100" bIns="19050" anchor="ctr" anchorCtr="1"/>
                  <a:lstStyle/>
                  <a:p>
                    <a:pPr defTabSz="914400">
                      <a:defRPr lang="zh-CN" sz="1400" b="0" i="0" u="none" strike="noStrike" kern="1200" baseline="0">
                        <a:solidFill>
                          <a:schemeClr val="tx1">
                            <a:lumMod val="75000"/>
                            <a:lumOff val="25000"/>
                          </a:schemeClr>
                        </a:solidFill>
                        <a:latin typeface="+mn-lt"/>
                        <a:ea typeface="+mn-ea"/>
                        <a:cs typeface="+mn-cs"/>
                      </a:defRPr>
                    </a:pPr>
                    <a:r>
                      <a:t>736.5</a:t>
                    </a:r>
                    <a:r>
                      <a:rPr lang="en-US" altLang="zh-CN"/>
                      <a:t>4</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4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2019年</c:v>
                </c:pt>
                <c:pt idx="1">
                  <c:v>2020年</c:v>
                </c:pt>
              </c:strCache>
            </c:strRef>
          </c:cat>
          <c:val>
            <c:numRef>
              <c:f>Sheet1!$B$2:$B$3</c:f>
              <c:numCache>
                <c:formatCode>General</c:formatCode>
                <c:ptCount val="2"/>
                <c:pt idx="0">
                  <c:v>625.35</c:v>
                </c:pt>
                <c:pt idx="1">
                  <c:v>736.53</c:v>
                </c:pt>
              </c:numCache>
            </c:numRef>
          </c:val>
        </c:ser>
        <c:dLbls>
          <c:showLegendKey val="0"/>
          <c:showVal val="1"/>
          <c:showCatName val="0"/>
          <c:showSerName val="0"/>
          <c:showPercent val="0"/>
          <c:showBubbleSize val="0"/>
        </c:dLbls>
        <c:gapWidth val="219"/>
        <c:overlap val="-27"/>
        <c:axId val="388772806"/>
        <c:axId val="524129162"/>
      </c:barChart>
      <c:catAx>
        <c:axId val="38877280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24129162"/>
        <c:crosses val="autoZero"/>
        <c:auto val="1"/>
        <c:lblAlgn val="ctr"/>
        <c:lblOffset val="100"/>
        <c:noMultiLvlLbl val="0"/>
      </c:catAx>
      <c:valAx>
        <c:axId val="52412916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8877280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一般公共预算财政拨款</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4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2019年</c:v>
                </c:pt>
                <c:pt idx="1">
                  <c:v>2020年</c:v>
                </c:pt>
              </c:strCache>
            </c:strRef>
          </c:cat>
          <c:val>
            <c:numRef>
              <c:f>Sheet1!$B$2:$B$3</c:f>
              <c:numCache>
                <c:formatCode>General</c:formatCode>
                <c:ptCount val="2"/>
                <c:pt idx="0">
                  <c:v>625.35</c:v>
                </c:pt>
                <c:pt idx="1">
                  <c:v>736.54</c:v>
                </c:pt>
              </c:numCache>
            </c:numRef>
          </c:val>
        </c:ser>
        <c:ser>
          <c:idx val="1"/>
          <c:order val="1"/>
          <c:tx>
            <c:strRef>
              <c:f>Sheet1!$C$1</c:f>
              <c:strCache>
                <c:ptCount val="1"/>
                <c:pt idx="0">
                  <c:v>本年支出</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4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2019年</c:v>
                </c:pt>
                <c:pt idx="1">
                  <c:v>2020年</c:v>
                </c:pt>
              </c:strCache>
            </c:strRef>
          </c:cat>
          <c:val>
            <c:numRef>
              <c:f>Sheet1!$C$2:$C$3</c:f>
              <c:numCache>
                <c:formatCode>General</c:formatCode>
                <c:ptCount val="2"/>
                <c:pt idx="0">
                  <c:v>1087.95</c:v>
                </c:pt>
                <c:pt idx="1">
                  <c:v>1277.45</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Sheet1!$A$2:$A$3</c:f>
              <c:strCache>
                <c:ptCount val="2"/>
                <c:pt idx="0">
                  <c:v>2019年</c:v>
                </c:pt>
                <c:pt idx="1">
                  <c:v>2020年</c:v>
                </c:pt>
              </c:strCache>
            </c:strRef>
          </c:cat>
          <c:val>
            <c:numRef>
              <c:f>Sheet1!#REF!</c:f>
              <c:numCache>
                <c:formatCode>General</c:formatCode>
                <c:ptCount val="1"/>
                <c:pt idx="0">
                  <c:v>1</c:v>
                </c:pt>
              </c:numCache>
            </c:numRef>
          </c:val>
        </c:ser>
        <c:dLbls>
          <c:showLegendKey val="0"/>
          <c:showVal val="1"/>
          <c:showCatName val="0"/>
          <c:showSerName val="0"/>
          <c:showPercent val="0"/>
          <c:showBubbleSize val="0"/>
        </c:dLbls>
        <c:gapWidth val="219"/>
        <c:overlap val="-27"/>
        <c:axId val="768862181"/>
        <c:axId val="88751290"/>
      </c:barChart>
      <c:catAx>
        <c:axId val="76886218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1400" b="0" i="0" u="none" strike="noStrike" kern="1200" baseline="0">
                <a:solidFill>
                  <a:schemeClr val="tx1">
                    <a:lumMod val="65000"/>
                    <a:lumOff val="35000"/>
                  </a:schemeClr>
                </a:solidFill>
                <a:latin typeface="+mn-lt"/>
                <a:ea typeface="+mn-ea"/>
                <a:cs typeface="+mn-cs"/>
              </a:defRPr>
            </a:pPr>
          </a:p>
        </c:txPr>
        <c:crossAx val="88751290"/>
        <c:crosses val="autoZero"/>
        <c:auto val="1"/>
        <c:lblAlgn val="ctr"/>
        <c:lblOffset val="100"/>
        <c:noMultiLvlLbl val="0"/>
      </c:catAx>
      <c:valAx>
        <c:axId val="8875129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1400" b="0" i="0" u="none" strike="noStrike" kern="1200" baseline="0">
                <a:solidFill>
                  <a:schemeClr val="tx1">
                    <a:lumMod val="65000"/>
                    <a:lumOff val="35000"/>
                  </a:schemeClr>
                </a:solidFill>
                <a:latin typeface="+mn-lt"/>
                <a:ea typeface="+mn-ea"/>
                <a:cs typeface="+mn-cs"/>
              </a:defRPr>
            </a:pPr>
          </a:p>
        </c:txPr>
        <c:crossAx val="768862181"/>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1400" b="0"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1400" b="0" i="0" u="none" strike="noStrike" kern="1200" baseline="0">
                <a:solidFill>
                  <a:schemeClr val="tx1">
                    <a:lumMod val="65000"/>
                    <a:lumOff val="35000"/>
                  </a:schemeClr>
                </a:solidFill>
                <a:latin typeface="+mn-lt"/>
                <a:ea typeface="+mn-ea"/>
                <a:cs typeface="+mn-cs"/>
              </a:defRPr>
            </a:pPr>
          </a:p>
        </c:txPr>
      </c:legendEntry>
      <c:legendEntry>
        <c:idx val="2"/>
        <c:delete val="1"/>
      </c:legendEntry>
      <c:layout/>
      <c:overlay val="0"/>
      <c:spPr>
        <a:noFill/>
        <a:ln>
          <a:noFill/>
        </a:ln>
        <a:effectLst/>
      </c:spPr>
      <c:txPr>
        <a:bodyPr rot="0" spcFirstLastPara="0" vertOverflow="ellipsis" vert="horz" wrap="square" anchor="ctr" anchorCtr="1"/>
        <a:lstStyle/>
        <a:p>
          <a:pPr>
            <a:defRPr lang="zh-CN" sz="14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1400"/>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列1</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Lbl>
              <c:idx val="0"/>
              <c:layout>
                <c:manualLayout>
                  <c:x val="0.16875"/>
                  <c:y val="0.0313333333333333"/>
                </c:manualLayout>
              </c:layout>
              <c:dLblPos val="bestFit"/>
              <c:showLegendKey val="0"/>
              <c:showVal val="1"/>
              <c:showCatName val="0"/>
              <c:showSerName val="0"/>
              <c:showPercent val="0"/>
              <c:showBubbleSize val="0"/>
              <c:extLst>
                <c:ext xmlns:c15="http://schemas.microsoft.com/office/drawing/2012/chart" uri="{CE6537A1-D6FC-4f65-9D91-7224C49458BB}">
                  <c15:layout>
                    <c:manualLayout>
                      <c:w val="0.10625"/>
                      <c:h val="0.0775"/>
                    </c:manualLayout>
                  </c15:layout>
                </c:ext>
              </c:extLst>
            </c:dLbl>
            <c:dLbl>
              <c:idx val="1"/>
              <c:layout>
                <c:manualLayout>
                  <c:x val="0.07725"/>
                  <c:y val="0.0311666666666667"/>
                </c:manualLayout>
              </c:layout>
              <c:dLblPos val="bestFit"/>
              <c:showLegendKey val="0"/>
              <c:showVal val="1"/>
              <c:showCatName val="0"/>
              <c:showSerName val="0"/>
              <c:showPercent val="0"/>
              <c:showBubbleSize val="0"/>
              <c:extLst>
                <c:ext xmlns:c15="http://schemas.microsoft.com/office/drawing/2012/chart" uri="{CE6537A1-D6FC-4f65-9D91-7224C49458BB}">
                  <c15:layout>
                    <c:manualLayout>
                      <c:w val="0.1155"/>
                      <c:h val="0.081"/>
                    </c:manualLayout>
                  </c15:layout>
                </c:ext>
              </c:extLst>
            </c:dLbl>
            <c:dLbl>
              <c:idx val="2"/>
              <c:layout>
                <c:manualLayout>
                  <c:x val="-0.0515"/>
                  <c:y val="-0.00633333333333333"/>
                </c:manualLayout>
              </c:layout>
              <c:dLblPos val="bestFit"/>
              <c:showLegendKey val="0"/>
              <c:showVal val="1"/>
              <c:showCatName val="0"/>
              <c:showSerName val="0"/>
              <c:showPercent val="0"/>
              <c:showBubbleSize val="0"/>
              <c:extLst>
                <c:ext xmlns:c15="http://schemas.microsoft.com/office/drawing/2012/chart" uri="{CE6537A1-D6FC-4f65-9D91-7224C49458BB}">
                  <c15:layout>
                    <c:manualLayout>
                      <c:w val="0.13175"/>
                      <c:h val="0.106666666666667"/>
                    </c:manualLayout>
                  </c15:layout>
                </c:ext>
              </c:extLst>
            </c:dLbl>
            <c:dLbl>
              <c:idx val="3"/>
              <c:layout>
                <c:manualLayout>
                  <c:x val="-0.140625"/>
                  <c:y val="0.00933333333333333"/>
                </c:manualLayout>
              </c:layout>
              <c:dLblPos val="bestFit"/>
              <c:showLegendKey val="0"/>
              <c:showVal val="1"/>
              <c:showCatName val="0"/>
              <c:showSerName val="0"/>
              <c:showPercent val="0"/>
              <c:showBubbleSize val="0"/>
              <c:extLst>
                <c:ext xmlns:c15="http://schemas.microsoft.com/office/drawing/2012/chart" uri="{CE6537A1-D6FC-4f65-9D91-7224C49458BB}">
                  <c15:layout>
                    <c:manualLayout>
                      <c:w val="0.1135"/>
                      <c:h val="0.1025"/>
                    </c:manualLayout>
                  </c15:layout>
                </c:ext>
              </c:extLst>
            </c:dLbl>
            <c:dLbl>
              <c:idx val="4"/>
              <c:layout>
                <c:manualLayout>
                  <c:x val="-0.086625"/>
                  <c:y val="0.00616666666666667"/>
                </c:manualLayout>
              </c:layout>
              <c:dLblPos val="bestFit"/>
              <c:showLegendKey val="0"/>
              <c:showVal val="1"/>
              <c:showCatName val="0"/>
              <c:showSerName val="0"/>
              <c:showPercent val="0"/>
              <c:showBubbleSize val="0"/>
              <c:extLst>
                <c:ext xmlns:c15="http://schemas.microsoft.com/office/drawing/2012/chart" uri="{CE6537A1-D6FC-4f65-9D91-7224C49458BB}">
                  <c15:layout>
                    <c:manualLayout>
                      <c:w val="0.1065"/>
                      <c:h val="0.118"/>
                    </c:manualLayout>
                  </c15:layout>
                </c:ext>
              </c:extLst>
            </c:dLbl>
            <c:spPr>
              <a:noFill/>
              <a:ln>
                <a:noFill/>
              </a:ln>
              <a:effectLst/>
            </c:spPr>
            <c:txPr>
              <a:bodyPr rot="0" spcFirstLastPara="0" vertOverflow="ellipsis" vert="horz" wrap="square" lIns="38100" tIns="19050" rIns="38100" bIns="19050" anchor="ctr" anchorCtr="1"/>
              <a:lstStyle/>
              <a:p>
                <a:pPr>
                  <a:defRPr lang="zh-CN" sz="14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一般公共服务</c:v>
                </c:pt>
                <c:pt idx="1">
                  <c:v>教育支出</c:v>
                </c:pt>
                <c:pt idx="2">
                  <c:v>社会保障和就业</c:v>
                </c:pt>
                <c:pt idx="3">
                  <c:v>卫生健康</c:v>
                </c:pt>
                <c:pt idx="4">
                  <c:v>住房保障</c:v>
                </c:pt>
              </c:strCache>
            </c:strRef>
          </c:cat>
          <c:val>
            <c:numRef>
              <c:f>Sheet1!$B$2:$B$6</c:f>
              <c:numCache>
                <c:formatCode>General</c:formatCode>
                <c:ptCount val="5"/>
                <c:pt idx="0">
                  <c:v>4.09</c:v>
                </c:pt>
                <c:pt idx="1">
                  <c:v>488.23</c:v>
                </c:pt>
                <c:pt idx="2">
                  <c:v>175.69</c:v>
                </c:pt>
                <c:pt idx="3">
                  <c:v>28.98</c:v>
                </c:pt>
                <c:pt idx="4">
                  <c:v>39.55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manualLayout>
                  <c:x val="0.13825"/>
                  <c:y val="0.0311666666666667"/>
                </c:manualLayout>
              </c:layout>
              <c:dLblPos val="bestFit"/>
              <c:showLegendKey val="0"/>
              <c:showVal val="1"/>
              <c:showCatName val="0"/>
              <c:showSerName val="0"/>
              <c:showPercent val="0"/>
              <c:showBubbleSize val="0"/>
              <c:extLst>
                <c:ext xmlns:c15="http://schemas.microsoft.com/office/drawing/2012/chart" uri="{CE6537A1-D6FC-4f65-9D91-7224C49458BB}">
                  <c15:layout>
                    <c:manualLayout>
                      <c:w val="0.07575"/>
                      <c:h val="0.0953333333333333"/>
                    </c:manualLayout>
                  </c15:layout>
                </c:ext>
              </c:extLst>
            </c:dLbl>
            <c:dLbl>
              <c:idx val="1"/>
              <c:layout>
                <c:manualLayout>
                  <c:x val="-0.239125"/>
                  <c:y val="-0.0656666666666667"/>
                </c:manualLayout>
              </c:layout>
              <c:tx>
                <c:rich>
                  <a:bodyPr rot="0" spcFirstLastPara="0" vertOverflow="ellipsis" vert="horz" wrap="square" lIns="38100" tIns="19050" rIns="38100" bIns="19050" anchor="ctr" anchorCtr="1"/>
                  <a:lstStyle/>
                  <a:p>
                    <a:pPr defTabSz="914400">
                      <a:defRPr lang="zh-CN" sz="1400" b="0" i="0" u="none" strike="noStrike" kern="1200" baseline="0">
                        <a:solidFill>
                          <a:schemeClr val="tx1">
                            <a:lumMod val="75000"/>
                            <a:lumOff val="25000"/>
                          </a:schemeClr>
                        </a:solidFill>
                        <a:latin typeface="+mn-lt"/>
                        <a:ea typeface="+mn-ea"/>
                        <a:cs typeface="+mn-cs"/>
                      </a:defRPr>
                    </a:pPr>
                    <a:r>
                      <a:rPr lang="en-US" altLang="zh-CN"/>
                      <a:t>0.36</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manualLayout>
                      <c:w val="0.091125"/>
                      <c:h val="0.088"/>
                    </c:manualLayout>
                  </c15:layout>
                </c:ext>
              </c:extLst>
            </c:dLbl>
            <c:spPr>
              <a:noFill/>
              <a:ln>
                <a:noFill/>
              </a:ln>
              <a:effectLst/>
            </c:spPr>
            <c:txPr>
              <a:bodyPr rot="0" spcFirstLastPara="0" vertOverflow="ellipsis" vert="horz" wrap="square" lIns="38100" tIns="19050" rIns="38100" bIns="19050" anchor="ctr" anchorCtr="1"/>
              <a:lstStyle/>
              <a:p>
                <a:pPr>
                  <a:defRPr lang="zh-CN" sz="14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公务用车购置及运行维护费</c:v>
                </c:pt>
                <c:pt idx="1">
                  <c:v>公务接待费</c:v>
                </c:pt>
              </c:strCache>
            </c:strRef>
          </c:cat>
          <c:val>
            <c:numRef>
              <c:f>Sheet1!$B$2:$B$3</c:f>
              <c:numCache>
                <c:formatCode>General</c:formatCode>
                <c:ptCount val="2"/>
                <c:pt idx="0">
                  <c:v>0.1</c:v>
                </c:pt>
                <c:pt idx="1">
                  <c:v>3.6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CC7602-F64C-4C8E-92A1-821E23A4E59B}">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24</Pages>
  <Words>1299</Words>
  <Characters>7410</Characters>
  <Lines>61</Lines>
  <Paragraphs>17</Paragraphs>
  <TotalTime>23</TotalTime>
  <ScaleCrop>false</ScaleCrop>
  <LinksUpToDate>false</LinksUpToDate>
  <CharactersWithSpaces>8692</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Administrator</cp:lastModifiedBy>
  <cp:lastPrinted>2021-09-06T02:37:00Z</cp:lastPrinted>
  <dcterms:modified xsi:type="dcterms:W3CDTF">2021-09-09T03:35:17Z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y fmtid="{D5CDD505-2E9C-101B-9397-08002B2CF9AE}" pid="3" name="ICV">
    <vt:lpwstr>E2B5B057B15941238402CCA7298E6300</vt:lpwstr>
  </property>
</Properties>
</file>